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E400C" w:rsidRPr="00CE400C" w:rsidRDefault="00CE400C" w:rsidP="00CE400C">
      <w:pPr>
        <w:pStyle w:val="NormalWeb"/>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CE400C">
      <w:pPr>
        <w:pStyle w:val="NormalWeb"/>
        <w:spacing w:before="0" w:beforeAutospacing="0" w:after="0" w:afterAutospacing="0"/>
        <w:jc w:val="both"/>
        <w:rPr>
          <w:rFonts w:ascii="Arial" w:hAnsi="Arial" w:cs="Arial"/>
          <w:b/>
          <w:bCs/>
          <w:caps/>
          <w:color w:val="376889"/>
        </w:rPr>
      </w:pPr>
    </w:p>
    <w:p w:rsidR="00332D8A" w:rsidRPr="003B674E" w:rsidRDefault="00332D8A" w:rsidP="00CE400C">
      <w:pPr>
        <w:pStyle w:val="NormalWeb"/>
        <w:spacing w:before="0" w:beforeAutospacing="0" w:after="0" w:afterAutospacing="0"/>
        <w:jc w:val="both"/>
        <w:rPr>
          <w:rFonts w:ascii="Arial" w:hAnsi="Arial" w:cs="Arial"/>
          <w:b/>
          <w:bCs/>
          <w:caps/>
          <w:color w:val="002F5D"/>
        </w:rPr>
      </w:pPr>
      <w:r w:rsidRPr="003B674E">
        <w:rPr>
          <w:rFonts w:ascii="Arial" w:hAnsi="Arial" w:cs="Arial"/>
          <w:b/>
          <w:bCs/>
          <w:caps/>
          <w:color w:val="002F5D"/>
        </w:rPr>
        <w:t>nacionales</w:t>
      </w:r>
    </w:p>
    <w:p w:rsidR="00CE400C" w:rsidRDefault="00CE400C" w:rsidP="00CE400C">
      <w:pPr>
        <w:pStyle w:val="NormalWeb"/>
        <w:spacing w:before="0" w:beforeAutospacing="0" w:after="0" w:afterAutospacing="0"/>
        <w:jc w:val="both"/>
        <w:rPr>
          <w:rFonts w:ascii="Arial" w:hAnsi="Arial" w:cs="Arial"/>
          <w:b/>
          <w:bCs/>
          <w:caps/>
          <w:color w:val="376889"/>
          <w:sz w:val="21"/>
          <w:szCs w:val="21"/>
        </w:rPr>
      </w:pPr>
    </w:p>
    <w:p w:rsidR="008C4219" w:rsidRDefault="008C4219" w:rsidP="008C4219">
      <w:pPr>
        <w:pStyle w:val="NormalWeb"/>
        <w:spacing w:before="0" w:beforeAutospacing="0" w:after="0" w:afterAutospacing="0"/>
        <w:jc w:val="both"/>
        <w:rPr>
          <w:rFonts w:ascii="Arial" w:hAnsi="Arial" w:cs="Arial"/>
          <w:b/>
          <w:bCs/>
          <w:caps/>
          <w:color w:val="376889"/>
        </w:rPr>
      </w:pPr>
      <w:r w:rsidRPr="00CE400C">
        <w:rPr>
          <w:rFonts w:ascii="Arial" w:hAnsi="Arial" w:cs="Arial"/>
          <w:b/>
          <w:bCs/>
          <w:caps/>
          <w:color w:val="002F5D"/>
        </w:rPr>
        <w:t>LEGISLACION</w:t>
      </w:r>
      <w:r w:rsidRPr="00CE400C">
        <w:rPr>
          <w:rFonts w:ascii="Arial" w:hAnsi="Arial" w:cs="Arial"/>
          <w:b/>
          <w:bCs/>
          <w:caps/>
          <w:color w:val="376889"/>
        </w:rPr>
        <w:t xml:space="preserve"> </w:t>
      </w:r>
    </w:p>
    <w:p w:rsidR="008C4219" w:rsidRDefault="008C4219" w:rsidP="005E1EC9">
      <w:pPr>
        <w:pStyle w:val="NormalWeb"/>
        <w:spacing w:before="0" w:beforeAutospacing="0" w:after="0" w:afterAutospacing="0"/>
        <w:jc w:val="both"/>
        <w:rPr>
          <w:rFonts w:ascii="Arial" w:hAnsi="Arial" w:cs="Arial"/>
          <w:b/>
          <w:bCs/>
          <w:caps/>
          <w:color w:val="002F5D"/>
          <w:sz w:val="21"/>
          <w:szCs w:val="21"/>
        </w:rPr>
      </w:pPr>
    </w:p>
    <w:p w:rsidR="00DA7B32" w:rsidRPr="00DA7B32" w:rsidRDefault="00DA7B32" w:rsidP="00DA7B32">
      <w:pPr>
        <w:pStyle w:val="NormalWeb"/>
        <w:spacing w:before="0" w:beforeAutospacing="0" w:after="0" w:afterAutospacing="0"/>
        <w:jc w:val="both"/>
        <w:rPr>
          <w:rFonts w:ascii="Arial" w:hAnsi="Arial" w:cs="Arial"/>
          <w:b/>
          <w:bCs/>
          <w:caps/>
          <w:color w:val="002F5D"/>
          <w:sz w:val="21"/>
          <w:szCs w:val="21"/>
        </w:rPr>
      </w:pPr>
      <w:r w:rsidRPr="00DA7B32">
        <w:rPr>
          <w:rFonts w:ascii="Arial" w:hAnsi="Arial" w:cs="Arial"/>
          <w:b/>
          <w:bCs/>
          <w:caps/>
          <w:color w:val="002F5D"/>
          <w:sz w:val="21"/>
          <w:szCs w:val="21"/>
        </w:rPr>
        <w:t xml:space="preserve">Impuesto a las Ganancias. Precios de transferencia. Presentación de la declaración jurada complementaria anual. Prórroga excepcional a marzo de 2020 </w:t>
      </w:r>
      <w:r>
        <w:rPr>
          <w:rFonts w:ascii="Arial" w:hAnsi="Arial" w:cs="Arial"/>
          <w:b/>
          <w:bCs/>
          <w:caps/>
          <w:color w:val="002F5D"/>
          <w:sz w:val="21"/>
          <w:szCs w:val="21"/>
        </w:rPr>
        <w:t xml:space="preserve">- </w:t>
      </w:r>
      <w:r w:rsidRPr="00DA7B32">
        <w:rPr>
          <w:rFonts w:ascii="Arial" w:hAnsi="Arial" w:cs="Arial"/>
          <w:b/>
          <w:bCs/>
          <w:caps/>
          <w:color w:val="002F5D"/>
          <w:sz w:val="21"/>
          <w:szCs w:val="21"/>
        </w:rPr>
        <w:t>RESOLUCIÓN GENERAL (</w:t>
      </w:r>
      <w:proofErr w:type="spellStart"/>
      <w:r w:rsidRPr="00DA7B32">
        <w:rPr>
          <w:rFonts w:ascii="Arial" w:hAnsi="Arial" w:cs="Arial"/>
          <w:b/>
          <w:bCs/>
          <w:caps/>
          <w:color w:val="002F5D"/>
          <w:sz w:val="21"/>
          <w:szCs w:val="21"/>
        </w:rPr>
        <w:t>Adm</w:t>
      </w:r>
      <w:proofErr w:type="spellEnd"/>
      <w:r w:rsidRPr="00DA7B32">
        <w:rPr>
          <w:rFonts w:ascii="Arial" w:hAnsi="Arial" w:cs="Arial"/>
          <w:b/>
          <w:bCs/>
          <w:caps/>
          <w:color w:val="002F5D"/>
          <w:sz w:val="21"/>
          <w:szCs w:val="21"/>
        </w:rPr>
        <w:t>. Fed. Ingresos Públicos) 4650</w:t>
      </w:r>
    </w:p>
    <w:p w:rsidR="00963E21" w:rsidRDefault="00963E21" w:rsidP="0088157D">
      <w:pPr>
        <w:pStyle w:val="NormalWeb"/>
        <w:spacing w:before="0" w:beforeAutospacing="0" w:after="0" w:afterAutospacing="0"/>
        <w:jc w:val="both"/>
        <w:rPr>
          <w:rFonts w:ascii="Arial" w:hAnsi="Arial" w:cs="Arial"/>
          <w:b/>
          <w:bCs/>
          <w:caps/>
          <w:color w:val="002F5D"/>
          <w:sz w:val="21"/>
          <w:szCs w:val="21"/>
        </w:rPr>
      </w:pPr>
    </w:p>
    <w:p w:rsidR="00D86094"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Se prorrogan, con carácter excepcional, hasta los días comprendidos entre el 16 y el 20 de marzo de 2020, las fechas de presentación de las declaraciones juradas de precios de transferencia y operaciones internacionales para los períodos fiscales cerrados entre el 31/12/2018 y el 30/6/2019, ambos inclusive</w:t>
      </w:r>
      <w:r>
        <w:rPr>
          <w:rFonts w:ascii="Arial" w:eastAsia="Times New Roman" w:hAnsi="Arial" w:cs="Arial"/>
          <w:b/>
          <w:bCs/>
          <w:color w:val="666666"/>
          <w:sz w:val="20"/>
          <w:szCs w:val="20"/>
        </w:rPr>
        <w:t>.</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Pr="00DA7B32" w:rsidRDefault="00DA7B32" w:rsidP="00DA7B32">
      <w:pPr>
        <w:pStyle w:val="NormalWeb"/>
        <w:spacing w:before="0" w:beforeAutospacing="0" w:after="0" w:afterAutospacing="0"/>
        <w:jc w:val="both"/>
        <w:rPr>
          <w:rFonts w:ascii="Arial" w:hAnsi="Arial" w:cs="Arial"/>
          <w:b/>
          <w:bCs/>
          <w:caps/>
          <w:color w:val="002F5D"/>
          <w:sz w:val="21"/>
          <w:szCs w:val="21"/>
        </w:rPr>
      </w:pPr>
      <w:r w:rsidRPr="00DA7B32">
        <w:rPr>
          <w:rFonts w:ascii="Arial" w:hAnsi="Arial" w:cs="Arial"/>
          <w:b/>
          <w:bCs/>
          <w:caps/>
          <w:color w:val="002F5D"/>
          <w:sz w:val="21"/>
          <w:szCs w:val="21"/>
        </w:rPr>
        <w:t>Derechos de Exportación. Comercio exterior. Se modifica el valor de los derechos de exportación - DECRETO (Poder Ejecutivo) 37/2019</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Se deja sin efecto, desde el 14/12/2019, el límite de $4 por cada dólar estadounidense establecido a la exportación para consumo para la generalidad de los productos y se establece que la alícuota del derecho de exportación será del 9% para los productos de soja y derivados</w:t>
      </w:r>
      <w:r>
        <w:rPr>
          <w:rFonts w:ascii="Arial" w:eastAsia="Times New Roman" w:hAnsi="Arial" w:cs="Arial"/>
          <w:b/>
          <w:bCs/>
          <w:color w:val="666666"/>
          <w:sz w:val="20"/>
          <w:szCs w:val="20"/>
        </w:rPr>
        <w:t>.</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Default="00DA7B32" w:rsidP="00DA7B32">
      <w:pPr>
        <w:pStyle w:val="NormalWeb"/>
        <w:spacing w:before="0" w:beforeAutospacing="0" w:after="0" w:afterAutospacing="0" w:line="276" w:lineRule="auto"/>
        <w:jc w:val="both"/>
        <w:rPr>
          <w:rFonts w:ascii="Arial" w:hAnsi="Arial" w:cs="Arial"/>
          <w:b/>
          <w:bCs/>
          <w:caps/>
          <w:color w:val="002F5D"/>
          <w:sz w:val="21"/>
          <w:szCs w:val="21"/>
        </w:rPr>
      </w:pPr>
      <w:r w:rsidRPr="00DA7B32">
        <w:rPr>
          <w:rFonts w:ascii="Arial" w:hAnsi="Arial" w:cs="Arial"/>
          <w:b/>
          <w:bCs/>
          <w:caps/>
          <w:color w:val="002F5D"/>
          <w:sz w:val="21"/>
          <w:szCs w:val="21"/>
        </w:rPr>
        <w:t>Proyecto de ley de solidaridad social y reactivación productiva en el marco de la emergencia pública</w:t>
      </w:r>
    </w:p>
    <w:p w:rsidR="00DA7B32" w:rsidRPr="00DA7B32" w:rsidRDefault="00DA7B32" w:rsidP="00DA7B32">
      <w:pPr>
        <w:pStyle w:val="textonovedades2"/>
        <w:spacing w:line="360" w:lineRule="auto"/>
        <w:rPr>
          <w:rFonts w:ascii="Arial" w:hAnsi="Arial" w:cs="Arial"/>
          <w:b/>
          <w:bCs/>
          <w:color w:val="666666"/>
          <w:u w:val="single"/>
          <w:lang w:val="es-ES" w:eastAsia="es-ES"/>
        </w:rPr>
      </w:pPr>
      <w:r w:rsidRPr="00DA7B32">
        <w:rPr>
          <w:rFonts w:ascii="Arial" w:hAnsi="Arial" w:cs="Arial"/>
          <w:color w:val="666666"/>
          <w:lang w:val="es-ES" w:eastAsia="es-ES"/>
        </w:rPr>
        <w:t xml:space="preserve">- </w:t>
      </w:r>
      <w:r w:rsidRPr="00DA7B32">
        <w:rPr>
          <w:rFonts w:ascii="Arial" w:hAnsi="Arial" w:cs="Arial"/>
          <w:b/>
          <w:color w:val="666666"/>
          <w:u w:val="single"/>
          <w:lang w:val="es-ES" w:eastAsia="es-ES"/>
        </w:rPr>
        <w:t>Moratoria para pymes</w:t>
      </w:r>
    </w:p>
    <w:p w:rsidR="00DA7B32" w:rsidRPr="00DA7B32" w:rsidRDefault="00DA7B32" w:rsidP="00DA7B32">
      <w:pPr>
        <w:pStyle w:val="textonovedades2"/>
        <w:spacing w:line="360" w:lineRule="auto"/>
        <w:rPr>
          <w:rFonts w:ascii="Arial" w:hAnsi="Arial" w:cs="Arial"/>
          <w:b/>
          <w:bCs/>
          <w:color w:val="666666"/>
          <w:lang w:val="es-ES" w:eastAsia="es-ES"/>
        </w:rPr>
      </w:pPr>
      <w:r w:rsidRPr="00DA7B32">
        <w:rPr>
          <w:rFonts w:ascii="Arial" w:hAnsi="Arial" w:cs="Arial"/>
          <w:b/>
          <w:bCs/>
          <w:color w:val="666666"/>
          <w:lang w:val="es-ES" w:eastAsia="es-ES"/>
        </w:rPr>
        <w:t>Se establece la posibilidad de regularizar obligaciones tributarias, de la seguridad social y aduaneras para pymes, por deudas vencidas hasta el 30/11/2019.</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podrán acoger al plan hasta el 30/4/2020 y el mismo prevé financiación de hasta 120 cuotas, con quita de multas e intereses.</w:t>
      </w:r>
    </w:p>
    <w:p w:rsidR="00DA7B32" w:rsidRPr="00DA7B32" w:rsidRDefault="00DA7B32" w:rsidP="00DA7B32">
      <w:pPr>
        <w:pStyle w:val="textonovedades2"/>
        <w:spacing w:line="360" w:lineRule="auto"/>
        <w:rPr>
          <w:rFonts w:ascii="Arial" w:hAnsi="Arial" w:cs="Arial"/>
          <w:b/>
          <w:bCs/>
          <w:color w:val="666666"/>
          <w:lang w:val="es-ES" w:eastAsia="es-ES"/>
        </w:rPr>
      </w:pPr>
      <w:r w:rsidRPr="00DA7B32">
        <w:rPr>
          <w:rFonts w:ascii="Arial" w:hAnsi="Arial" w:cs="Arial"/>
          <w:color w:val="666666"/>
          <w:lang w:val="es-ES" w:eastAsia="es-ES"/>
        </w:rPr>
        <w:t xml:space="preserve">- </w:t>
      </w:r>
      <w:r w:rsidRPr="00DA7B32">
        <w:rPr>
          <w:rFonts w:ascii="Arial" w:hAnsi="Arial" w:cs="Arial"/>
          <w:b/>
          <w:color w:val="666666"/>
          <w:u w:val="single"/>
          <w:lang w:val="es-ES" w:eastAsia="es-ES"/>
        </w:rPr>
        <w:t>Retenciones a la exportación</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plantean nuevas condiciones para las retenciones al campo.</w:t>
      </w:r>
    </w:p>
    <w:p w:rsidR="00DA7B32" w:rsidRPr="00DA7B32" w:rsidRDefault="00DA7B32" w:rsidP="00DA7B32">
      <w:pPr>
        <w:pStyle w:val="textonovedades2"/>
        <w:spacing w:line="360" w:lineRule="auto"/>
        <w:rPr>
          <w:rFonts w:ascii="Arial" w:hAnsi="Arial" w:cs="Arial"/>
          <w:b/>
          <w:bCs/>
          <w:color w:val="666666"/>
          <w:lang w:val="es-ES" w:eastAsia="es-ES"/>
        </w:rPr>
      </w:pPr>
      <w:r w:rsidRPr="00DA7B32">
        <w:rPr>
          <w:rFonts w:ascii="Arial" w:hAnsi="Arial" w:cs="Arial"/>
          <w:color w:val="666666"/>
          <w:lang w:val="es-ES" w:eastAsia="es-ES"/>
        </w:rPr>
        <w:t xml:space="preserve">- </w:t>
      </w:r>
      <w:r w:rsidRPr="00DA7B32">
        <w:rPr>
          <w:rFonts w:ascii="Arial" w:hAnsi="Arial" w:cs="Arial"/>
          <w:b/>
          <w:color w:val="666666"/>
          <w:u w:val="single"/>
          <w:lang w:val="es-ES" w:eastAsia="es-ES"/>
        </w:rPr>
        <w:t>Bienes personales</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Las alícuotas a aplicar serán entre el 0,50% y el 1,25%, según la base imponible, a saber:</w:t>
      </w:r>
    </w:p>
    <w:p w:rsidR="00DA7B32" w:rsidRPr="00DA7B32" w:rsidRDefault="00DA7B32" w:rsidP="00DA7B32">
      <w:pPr>
        <w:spacing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w:t>
      </w:r>
    </w:p>
    <w:tbl>
      <w:tblPr>
        <w:tblW w:w="4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79"/>
        <w:gridCol w:w="1735"/>
        <w:gridCol w:w="1117"/>
        <w:gridCol w:w="987"/>
        <w:gridCol w:w="1633"/>
      </w:tblGrid>
      <w:tr w:rsidR="00DA7B32" w:rsidRPr="00DA7B32" w:rsidTr="00DA7B32">
        <w:tc>
          <w:tcPr>
            <w:tcW w:w="0" w:type="auto"/>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color w:val="666666"/>
                <w:sz w:val="20"/>
                <w:szCs w:val="20"/>
              </w:rPr>
              <w:t xml:space="preserve">Valor total de los bienes que exceda el mínimo no imponible </w:t>
            </w:r>
          </w:p>
        </w:tc>
        <w:tc>
          <w:tcPr>
            <w:tcW w:w="0" w:type="auto"/>
            <w:tcBorders>
              <w:top w:val="single" w:sz="12"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color w:val="666666"/>
                <w:sz w:val="20"/>
                <w:szCs w:val="20"/>
              </w:rPr>
              <w:t xml:space="preserve">Pagarán </w:t>
            </w:r>
          </w:p>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color w:val="666666"/>
                <w:sz w:val="20"/>
                <w:szCs w:val="20"/>
              </w:rPr>
              <w:t xml:space="preserve">$ </w:t>
            </w:r>
          </w:p>
        </w:tc>
        <w:tc>
          <w:tcPr>
            <w:tcW w:w="0" w:type="auto"/>
            <w:tcBorders>
              <w:top w:val="single" w:sz="12"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color w:val="666666"/>
                <w:sz w:val="20"/>
                <w:szCs w:val="20"/>
              </w:rPr>
              <w:t xml:space="preserve">Más el % </w:t>
            </w:r>
          </w:p>
        </w:tc>
        <w:tc>
          <w:tcPr>
            <w:tcW w:w="0" w:type="auto"/>
            <w:tcBorders>
              <w:top w:val="single" w:sz="12"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color w:val="666666"/>
                <w:sz w:val="20"/>
                <w:szCs w:val="20"/>
              </w:rPr>
              <w:t xml:space="preserve">Sobre el excedente de </w:t>
            </w:r>
            <w:r w:rsidRPr="00DA7B32">
              <w:rPr>
                <w:rFonts w:ascii="Arial" w:hAnsi="Arial" w:cs="Arial"/>
                <w:color w:val="666666"/>
                <w:sz w:val="20"/>
                <w:szCs w:val="20"/>
              </w:rPr>
              <w:lastRenderedPageBreak/>
              <w:t xml:space="preserve">$ </w:t>
            </w:r>
          </w:p>
        </w:tc>
      </w:tr>
      <w:tr w:rsidR="00DA7B32" w:rsidRPr="00DA7B32" w:rsidTr="00E03E5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lastRenderedPageBreak/>
              <w:t xml:space="preserve">Más de $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a $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w:t>
            </w:r>
          </w:p>
        </w:tc>
      </w:tr>
      <w:tr w:rsidR="00DA7B32" w:rsidRPr="00DA7B32" w:rsidTr="00E03E5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3.000.000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0,50%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0</w:t>
            </w:r>
          </w:p>
        </w:tc>
      </w:tr>
      <w:tr w:rsidR="00DA7B32" w:rsidRPr="00DA7B32" w:rsidTr="00E03E5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3.000.001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6.500.000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15.000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0,75%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3.000.000</w:t>
            </w:r>
          </w:p>
        </w:tc>
      </w:tr>
      <w:tr w:rsidR="00DA7B32" w:rsidRPr="00DA7B32" w:rsidTr="00E03E5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6.500.001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18.000.000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41.250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1,00%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6.500.000</w:t>
            </w:r>
          </w:p>
        </w:tc>
      </w:tr>
      <w:tr w:rsidR="00DA7B32" w:rsidRPr="00DA7B32" w:rsidTr="00E03E5D">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18.000.001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En adelante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156.250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 xml:space="preserve">1,25%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DA7B32" w:rsidRPr="00DA7B32" w:rsidRDefault="00DA7B32" w:rsidP="00DA7B32">
            <w:pPr>
              <w:pStyle w:val="tablacentrado81"/>
              <w:spacing w:line="360" w:lineRule="auto"/>
              <w:jc w:val="both"/>
              <w:rPr>
                <w:rFonts w:ascii="Arial" w:hAnsi="Arial" w:cs="Arial"/>
                <w:b/>
                <w:bCs/>
                <w:color w:val="666666"/>
                <w:sz w:val="20"/>
                <w:szCs w:val="20"/>
              </w:rPr>
            </w:pPr>
            <w:r w:rsidRPr="00DA7B32">
              <w:rPr>
                <w:rFonts w:ascii="Arial" w:hAnsi="Arial" w:cs="Arial"/>
                <w:b/>
                <w:bCs/>
                <w:color w:val="666666"/>
                <w:sz w:val="20"/>
                <w:szCs w:val="20"/>
              </w:rPr>
              <w:t>18.000.000</w:t>
            </w:r>
          </w:p>
        </w:tc>
      </w:tr>
    </w:tbl>
    <w:p w:rsidR="00DA7B32" w:rsidRPr="00DA7B32" w:rsidRDefault="00DA7B32" w:rsidP="00DA7B32">
      <w:pPr>
        <w:spacing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delega al Poder Ejecutivo Nacional la facultad de fijar alícuotas diferenciales superiores hasta un 100% sobre la tasa máxima expuesta en el cuadro precedente, para gravar los bienes situados en el exterior. En caso de verificarse la repatriación del producido, esta se podrá disminuir.</w:t>
      </w:r>
    </w:p>
    <w:p w:rsidR="00DA7B32" w:rsidRPr="00DA7B32" w:rsidRDefault="00DA7B32" w:rsidP="00DA7B32">
      <w:pPr>
        <w:spacing w:line="360" w:lineRule="auto"/>
        <w:ind w:left="105" w:right="105"/>
        <w:jc w:val="both"/>
        <w:rPr>
          <w:rFonts w:ascii="Arial" w:hAnsi="Arial" w:cs="Arial"/>
          <w:b/>
          <w:bCs/>
          <w:color w:val="666666"/>
        </w:rPr>
      </w:pPr>
      <w:r w:rsidRPr="00DA7B32">
        <w:rPr>
          <w:rFonts w:ascii="Arial" w:eastAsia="Times New Roman" w:hAnsi="Arial" w:cs="Arial"/>
          <w:b/>
          <w:bCs/>
          <w:color w:val="666666"/>
          <w:sz w:val="20"/>
          <w:szCs w:val="20"/>
        </w:rPr>
        <w:t> </w:t>
      </w:r>
      <w:r w:rsidRPr="00DA7B32">
        <w:rPr>
          <w:rFonts w:ascii="Arial" w:hAnsi="Arial" w:cs="Arial"/>
          <w:color w:val="666666"/>
        </w:rPr>
        <w:t xml:space="preserve">- </w:t>
      </w:r>
      <w:r w:rsidRPr="00DA7B32">
        <w:rPr>
          <w:rFonts w:ascii="Arial" w:eastAsia="Times New Roman" w:hAnsi="Arial" w:cs="Arial"/>
          <w:b/>
          <w:color w:val="666666"/>
          <w:sz w:val="20"/>
          <w:szCs w:val="20"/>
          <w:u w:val="single"/>
        </w:rPr>
        <w:t>Impuesto a las ganancias y cedular</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deja sin efecto el impuesto cedular para los intereses originados en depósitos efectuados en instituciones financieras en caja de ahorro, cuentas especiales de ahorro, a plazo fijo en moneda nacional y se vuelven a eximir estos intereses del impuesto a las ganancias.</w:t>
      </w:r>
    </w:p>
    <w:p w:rsidR="00DA7B32" w:rsidRPr="00DA7B32" w:rsidRDefault="00DA7B32" w:rsidP="00DA7B32">
      <w:pPr>
        <w:spacing w:line="360" w:lineRule="auto"/>
        <w:ind w:left="105" w:right="105"/>
        <w:jc w:val="both"/>
        <w:rPr>
          <w:rFonts w:ascii="Arial" w:hAnsi="Arial" w:cs="Arial"/>
          <w:b/>
          <w:bCs/>
          <w:color w:val="666666"/>
        </w:rPr>
      </w:pPr>
      <w:r w:rsidRPr="00DA7B32">
        <w:rPr>
          <w:rFonts w:ascii="Arial" w:eastAsia="Times New Roman" w:hAnsi="Arial" w:cs="Arial"/>
          <w:b/>
          <w:bCs/>
          <w:color w:val="666666"/>
          <w:sz w:val="20"/>
          <w:szCs w:val="20"/>
        </w:rPr>
        <w:t> </w:t>
      </w:r>
      <w:r w:rsidRPr="00DA7B32">
        <w:rPr>
          <w:rFonts w:ascii="Arial" w:hAnsi="Arial" w:cs="Arial"/>
          <w:color w:val="666666"/>
        </w:rPr>
        <w:t xml:space="preserve">- </w:t>
      </w:r>
      <w:r w:rsidRPr="00DA7B32">
        <w:rPr>
          <w:rFonts w:ascii="Arial" w:eastAsia="Times New Roman" w:hAnsi="Arial" w:cs="Arial"/>
          <w:b/>
          <w:color w:val="666666"/>
          <w:sz w:val="20"/>
          <w:szCs w:val="20"/>
          <w:u w:val="single"/>
        </w:rPr>
        <w:t>Transacciones con el exterior</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establece por un plazo de 5 años que las operaciones de compra de billetes y divisas del exterior realizadas por las personas humanas o jurídicas para atesoramiento, sin un destino específico destinado al pago de obligaciones, estarán gravadas con un impuesto del 30%. Este nuevo impuesto no podrá tomarse a cuenta de ganancias como ocurría en el pasado.</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 xml:space="preserve">Con esta modificación, se afectaría a plataformas como </w:t>
      </w:r>
      <w:proofErr w:type="spellStart"/>
      <w:r w:rsidRPr="00DA7B32">
        <w:rPr>
          <w:rFonts w:ascii="Arial" w:hAnsi="Arial" w:cs="Arial"/>
          <w:b/>
          <w:bCs/>
          <w:color w:val="666666"/>
          <w:lang w:val="es-ES" w:eastAsia="es-ES"/>
        </w:rPr>
        <w:t>Netflix</w:t>
      </w:r>
      <w:proofErr w:type="spellEnd"/>
      <w:r w:rsidRPr="00DA7B32">
        <w:rPr>
          <w:rFonts w:ascii="Arial" w:hAnsi="Arial" w:cs="Arial"/>
          <w:b/>
          <w:bCs/>
          <w:color w:val="666666"/>
          <w:lang w:val="es-ES" w:eastAsia="es-ES"/>
        </w:rPr>
        <w:t xml:space="preserve"> y </w:t>
      </w:r>
      <w:proofErr w:type="spellStart"/>
      <w:r w:rsidRPr="00DA7B32">
        <w:rPr>
          <w:rFonts w:ascii="Arial" w:hAnsi="Arial" w:cs="Arial"/>
          <w:b/>
          <w:bCs/>
          <w:color w:val="666666"/>
          <w:lang w:val="es-ES" w:eastAsia="es-ES"/>
        </w:rPr>
        <w:t>Spotify</w:t>
      </w:r>
      <w:proofErr w:type="spellEnd"/>
      <w:r w:rsidRPr="00DA7B32">
        <w:rPr>
          <w:rFonts w:ascii="Arial" w:hAnsi="Arial" w:cs="Arial"/>
          <w:b/>
          <w:bCs/>
          <w:color w:val="666666"/>
          <w:lang w:val="es-ES" w:eastAsia="es-ES"/>
        </w:rPr>
        <w:t xml:space="preserve">, servicios turísticos de empresas como </w:t>
      </w:r>
      <w:proofErr w:type="spellStart"/>
      <w:r w:rsidRPr="00DA7B32">
        <w:rPr>
          <w:rFonts w:ascii="Arial" w:hAnsi="Arial" w:cs="Arial"/>
          <w:b/>
          <w:bCs/>
          <w:color w:val="666666"/>
          <w:lang w:val="es-ES" w:eastAsia="es-ES"/>
        </w:rPr>
        <w:t>Booking</w:t>
      </w:r>
      <w:proofErr w:type="spellEnd"/>
      <w:r w:rsidRPr="00DA7B32">
        <w:rPr>
          <w:rFonts w:ascii="Arial" w:hAnsi="Arial" w:cs="Arial"/>
          <w:b/>
          <w:bCs/>
          <w:color w:val="666666"/>
          <w:lang w:val="es-ES" w:eastAsia="es-ES"/>
        </w:rPr>
        <w:t xml:space="preserve"> y </w:t>
      </w:r>
      <w:proofErr w:type="spellStart"/>
      <w:r w:rsidRPr="00DA7B32">
        <w:rPr>
          <w:rFonts w:ascii="Arial" w:hAnsi="Arial" w:cs="Arial"/>
          <w:b/>
          <w:bCs/>
          <w:color w:val="666666"/>
          <w:lang w:val="es-ES" w:eastAsia="es-ES"/>
        </w:rPr>
        <w:t>Airbnb</w:t>
      </w:r>
      <w:proofErr w:type="spellEnd"/>
      <w:r w:rsidRPr="00DA7B32">
        <w:rPr>
          <w:rFonts w:ascii="Arial" w:hAnsi="Arial" w:cs="Arial"/>
          <w:b/>
          <w:bCs/>
          <w:color w:val="666666"/>
          <w:lang w:val="es-ES" w:eastAsia="es-ES"/>
        </w:rPr>
        <w:t xml:space="preserve">, compras vía Amazon, servicios de seguridad como </w:t>
      </w:r>
      <w:proofErr w:type="spellStart"/>
      <w:r w:rsidRPr="00DA7B32">
        <w:rPr>
          <w:rFonts w:ascii="Arial" w:hAnsi="Arial" w:cs="Arial"/>
          <w:b/>
          <w:bCs/>
          <w:color w:val="666666"/>
          <w:lang w:val="es-ES" w:eastAsia="es-ES"/>
        </w:rPr>
        <w:t>Norton</w:t>
      </w:r>
      <w:proofErr w:type="spellEnd"/>
      <w:r w:rsidRPr="00DA7B32">
        <w:rPr>
          <w:rFonts w:ascii="Arial" w:hAnsi="Arial" w:cs="Arial"/>
          <w:b/>
          <w:bCs/>
          <w:color w:val="666666"/>
          <w:lang w:val="es-ES" w:eastAsia="es-ES"/>
        </w:rPr>
        <w:t xml:space="preserve"> Security (antivirus), servicios de empleos de empresas extranjeras como </w:t>
      </w:r>
      <w:proofErr w:type="spellStart"/>
      <w:r w:rsidRPr="00DA7B32">
        <w:rPr>
          <w:rFonts w:ascii="Arial" w:hAnsi="Arial" w:cs="Arial"/>
          <w:b/>
          <w:bCs/>
          <w:color w:val="666666"/>
          <w:lang w:val="es-ES" w:eastAsia="es-ES"/>
        </w:rPr>
        <w:t>LinkedIn</w:t>
      </w:r>
      <w:proofErr w:type="spellEnd"/>
      <w:r w:rsidRPr="00DA7B32">
        <w:rPr>
          <w:rFonts w:ascii="Arial" w:hAnsi="Arial" w:cs="Arial"/>
          <w:b/>
          <w:bCs/>
          <w:color w:val="666666"/>
          <w:lang w:val="es-ES" w:eastAsia="es-ES"/>
        </w:rPr>
        <w:t xml:space="preserve">, campañas publicitarias de Google o de </w:t>
      </w:r>
      <w:proofErr w:type="spellStart"/>
      <w:r w:rsidRPr="00DA7B32">
        <w:rPr>
          <w:rFonts w:ascii="Arial" w:hAnsi="Arial" w:cs="Arial"/>
          <w:b/>
          <w:bCs/>
          <w:color w:val="666666"/>
          <w:lang w:val="es-ES" w:eastAsia="es-ES"/>
        </w:rPr>
        <w:t>Facebook</w:t>
      </w:r>
      <w:proofErr w:type="spellEnd"/>
      <w:r w:rsidRPr="00DA7B32">
        <w:rPr>
          <w:rFonts w:ascii="Arial" w:hAnsi="Arial" w:cs="Arial"/>
          <w:b/>
          <w:bCs/>
          <w:color w:val="666666"/>
          <w:lang w:val="es-ES" w:eastAsia="es-ES"/>
        </w:rPr>
        <w:t>/</w:t>
      </w:r>
      <w:proofErr w:type="spellStart"/>
      <w:r w:rsidRPr="00DA7B32">
        <w:rPr>
          <w:rFonts w:ascii="Arial" w:hAnsi="Arial" w:cs="Arial"/>
          <w:b/>
          <w:bCs/>
          <w:color w:val="666666"/>
          <w:lang w:val="es-ES" w:eastAsia="es-ES"/>
        </w:rPr>
        <w:t>Instagram</w:t>
      </w:r>
      <w:proofErr w:type="spellEnd"/>
      <w:r w:rsidRPr="00DA7B32">
        <w:rPr>
          <w:rFonts w:ascii="Arial" w:hAnsi="Arial" w:cs="Arial"/>
          <w:b/>
          <w:bCs/>
          <w:color w:val="666666"/>
          <w:lang w:val="es-ES" w:eastAsia="es-ES"/>
        </w:rPr>
        <w:t>, entre otras.</w:t>
      </w:r>
    </w:p>
    <w:p w:rsidR="00DA7B32" w:rsidRPr="00DA7B32" w:rsidRDefault="00DA7B32" w:rsidP="00DA7B32">
      <w:pPr>
        <w:spacing w:line="360" w:lineRule="auto"/>
        <w:ind w:left="105" w:right="105"/>
        <w:jc w:val="both"/>
        <w:rPr>
          <w:rFonts w:ascii="Arial" w:hAnsi="Arial" w:cs="Arial"/>
          <w:b/>
          <w:bCs/>
          <w:color w:val="666666"/>
        </w:rPr>
      </w:pPr>
      <w:r w:rsidRPr="00DA7B32">
        <w:rPr>
          <w:rFonts w:ascii="Arial" w:eastAsia="Times New Roman" w:hAnsi="Arial" w:cs="Arial"/>
          <w:b/>
          <w:bCs/>
          <w:color w:val="666666"/>
          <w:sz w:val="20"/>
          <w:szCs w:val="20"/>
        </w:rPr>
        <w:t> </w:t>
      </w:r>
      <w:r w:rsidRPr="00DA7B32">
        <w:rPr>
          <w:rFonts w:ascii="Arial" w:hAnsi="Arial" w:cs="Arial"/>
          <w:color w:val="666666"/>
        </w:rPr>
        <w:t xml:space="preserve">- </w:t>
      </w:r>
      <w:r w:rsidRPr="00DA7B32">
        <w:rPr>
          <w:rFonts w:ascii="Arial" w:eastAsia="Times New Roman" w:hAnsi="Arial" w:cs="Arial"/>
          <w:b/>
          <w:color w:val="666666"/>
          <w:sz w:val="20"/>
          <w:szCs w:val="20"/>
          <w:u w:val="single"/>
        </w:rPr>
        <w:t>Ajuste por inflación impositivo</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La imputación del ajuste por inflación impositivo correspondiente al primer y segundo ejercicio iniciados a partir del 1/1/2019 deberá imputarse en partes iguales durante 6 ejercicios fiscales.</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En materia laboral, previsional y de recursos de la seguridad social, destacamos los principales puntos del proyecto:</w:t>
      </w:r>
    </w:p>
    <w:p w:rsidR="00DA7B32" w:rsidRPr="00DA7B32" w:rsidRDefault="00DA7B32" w:rsidP="00DA7B32">
      <w:pPr>
        <w:spacing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w:t>
      </w:r>
    </w:p>
    <w:p w:rsidR="00DA7B32" w:rsidRPr="00DA7B32" w:rsidRDefault="00DA7B32" w:rsidP="00DA7B32">
      <w:pPr>
        <w:pStyle w:val="textonovedades2"/>
        <w:spacing w:line="360" w:lineRule="auto"/>
        <w:rPr>
          <w:rFonts w:ascii="Arial" w:hAnsi="Arial" w:cs="Arial"/>
          <w:b/>
          <w:bCs/>
          <w:color w:val="666666"/>
          <w:lang w:val="es-ES" w:eastAsia="es-ES"/>
        </w:rPr>
      </w:pPr>
      <w:r w:rsidRPr="00DA7B32">
        <w:rPr>
          <w:rFonts w:ascii="Arial" w:hAnsi="Arial" w:cs="Arial"/>
          <w:color w:val="666666"/>
          <w:lang w:val="es-ES" w:eastAsia="es-ES"/>
        </w:rPr>
        <w:lastRenderedPageBreak/>
        <w:t xml:space="preserve">- </w:t>
      </w:r>
      <w:r w:rsidRPr="00DA7B32">
        <w:rPr>
          <w:rFonts w:ascii="Arial" w:hAnsi="Arial" w:cs="Arial"/>
          <w:b/>
          <w:color w:val="666666"/>
          <w:u w:val="single"/>
          <w:lang w:val="es-ES" w:eastAsia="es-ES"/>
        </w:rPr>
        <w:t>Contribuciones patronales</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restituye la apertura de alícuota contributiva para pymes (18%) y grandes empresas (20,40%), la posibilidad de tomar como crédito fiscal del IVA los puntos porcentuales correspondientes según la jurisdicción del empleador y se deroga el decreto 814/2001.</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Continúa vigente la detracción sobre las contribuciones patronales en los importes actuales.</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Adicionalmente, los empleadores que tengan una nómina de hasta 25 empleados gozarán de una detracción de $ 10.000 mensual.</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Estas medidas no se aplican a los empleadores titulares de establecimientos educativos de gestión privada.</w:t>
      </w:r>
    </w:p>
    <w:p w:rsidR="00DA7B32" w:rsidRPr="00DA7B32" w:rsidRDefault="00DA7B32" w:rsidP="00DA7B32">
      <w:pPr>
        <w:spacing w:line="360" w:lineRule="auto"/>
        <w:ind w:left="105" w:right="105"/>
        <w:jc w:val="both"/>
        <w:rPr>
          <w:rFonts w:ascii="Arial" w:hAnsi="Arial" w:cs="Arial"/>
          <w:b/>
          <w:bCs/>
          <w:color w:val="666666"/>
        </w:rPr>
      </w:pPr>
      <w:r w:rsidRPr="00DA7B32">
        <w:rPr>
          <w:rFonts w:ascii="Arial" w:eastAsia="Times New Roman" w:hAnsi="Arial" w:cs="Arial"/>
          <w:b/>
          <w:bCs/>
          <w:color w:val="666666"/>
          <w:sz w:val="20"/>
          <w:szCs w:val="20"/>
        </w:rPr>
        <w:t> </w:t>
      </w:r>
      <w:r w:rsidRPr="00DA7B32">
        <w:rPr>
          <w:rFonts w:ascii="Arial" w:hAnsi="Arial" w:cs="Arial"/>
          <w:color w:val="666666"/>
        </w:rPr>
        <w:t xml:space="preserve">- </w:t>
      </w:r>
      <w:r w:rsidRPr="00DA7B32">
        <w:rPr>
          <w:rFonts w:ascii="Arial" w:eastAsia="Times New Roman" w:hAnsi="Arial" w:cs="Arial"/>
          <w:b/>
          <w:color w:val="666666"/>
          <w:sz w:val="20"/>
          <w:szCs w:val="20"/>
          <w:u w:val="single"/>
        </w:rPr>
        <w:t>Haberes previsionales</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Se suspende por 180 días la movilidad jubilatoria.</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Durante este plazo, el Poder Ejecutivo Nacional deberá fijar trimestralmente el incremento de los haberes previsionales.</w:t>
      </w:r>
    </w:p>
    <w:p w:rsidR="00DA7B32" w:rsidRPr="00DA7B32" w:rsidRDefault="00DA7B32" w:rsidP="00DA7B32">
      <w:pPr>
        <w:spacing w:line="360" w:lineRule="auto"/>
        <w:ind w:left="105" w:right="105"/>
        <w:jc w:val="both"/>
        <w:rPr>
          <w:rFonts w:ascii="Arial" w:hAnsi="Arial" w:cs="Arial"/>
          <w:b/>
          <w:bCs/>
          <w:color w:val="666666"/>
        </w:rPr>
      </w:pPr>
      <w:r w:rsidRPr="00DA7B32">
        <w:rPr>
          <w:rFonts w:ascii="Arial" w:eastAsia="Times New Roman" w:hAnsi="Arial" w:cs="Arial"/>
          <w:b/>
          <w:bCs/>
          <w:color w:val="666666"/>
          <w:sz w:val="20"/>
          <w:szCs w:val="20"/>
        </w:rPr>
        <w:t> </w:t>
      </w:r>
      <w:r w:rsidRPr="00DA7B32">
        <w:rPr>
          <w:rFonts w:ascii="Arial" w:hAnsi="Arial" w:cs="Arial"/>
          <w:color w:val="666666"/>
        </w:rPr>
        <w:t xml:space="preserve">- </w:t>
      </w:r>
      <w:r w:rsidRPr="00DA7B32">
        <w:rPr>
          <w:rFonts w:ascii="Arial" w:eastAsia="Times New Roman" w:hAnsi="Arial" w:cs="Arial"/>
          <w:b/>
          <w:color w:val="666666"/>
          <w:sz w:val="20"/>
          <w:szCs w:val="20"/>
          <w:u w:val="single"/>
        </w:rPr>
        <w:t>Laboral</w:t>
      </w:r>
    </w:p>
    <w:p w:rsidR="00DA7B32" w:rsidRPr="00DA7B32" w:rsidRDefault="00DA7B32" w:rsidP="00DA7B32">
      <w:pPr>
        <w:pStyle w:val="contenido2"/>
        <w:spacing w:line="360" w:lineRule="auto"/>
        <w:rPr>
          <w:rFonts w:ascii="Arial" w:hAnsi="Arial" w:cs="Arial"/>
          <w:b/>
          <w:bCs/>
          <w:color w:val="666666"/>
          <w:lang w:val="es-ES" w:eastAsia="es-ES"/>
        </w:rPr>
      </w:pPr>
      <w:r w:rsidRPr="00DA7B32">
        <w:rPr>
          <w:rFonts w:ascii="Arial" w:hAnsi="Arial" w:cs="Arial"/>
          <w:b/>
          <w:bCs/>
          <w:color w:val="666666"/>
          <w:lang w:val="es-ES" w:eastAsia="es-ES"/>
        </w:rPr>
        <w:t>El proyecto de ley faculta al Poder Ejecutivo a:</w:t>
      </w:r>
    </w:p>
    <w:p w:rsidR="00DA7B32" w:rsidRPr="00DA7B32" w:rsidRDefault="00DA7B32" w:rsidP="00DA7B32">
      <w:pPr>
        <w:pStyle w:val="errepar1erfrancesnovedades1"/>
        <w:spacing w:line="360" w:lineRule="auto"/>
        <w:rPr>
          <w:rFonts w:ascii="Arial" w:hAnsi="Arial" w:cs="Arial"/>
          <w:b/>
          <w:bCs/>
          <w:color w:val="666666"/>
          <w:lang w:val="es-ES" w:eastAsia="es-ES"/>
        </w:rPr>
      </w:pPr>
      <w:r w:rsidRPr="00DA7B32">
        <w:rPr>
          <w:rFonts w:ascii="Arial" w:hAnsi="Arial" w:cs="Arial"/>
          <w:b/>
          <w:bCs/>
          <w:color w:val="666666"/>
          <w:lang w:val="es-ES" w:eastAsia="es-ES"/>
        </w:rPr>
        <w:t>- Disponer en forma obligatoria que los empleadores del sector privado abonen a sus trabajadores incrementos salariales mínimos.</w:t>
      </w:r>
    </w:p>
    <w:p w:rsidR="00DA7B32" w:rsidRPr="00DA7B32" w:rsidRDefault="00DA7B32" w:rsidP="00DA7B32">
      <w:pPr>
        <w:pStyle w:val="errepar1erfrancesnovedades1"/>
        <w:spacing w:line="360" w:lineRule="auto"/>
        <w:rPr>
          <w:rFonts w:ascii="Arial" w:hAnsi="Arial" w:cs="Arial"/>
          <w:b/>
          <w:bCs/>
          <w:color w:val="666666"/>
          <w:lang w:val="es-ES" w:eastAsia="es-ES"/>
        </w:rPr>
      </w:pPr>
      <w:r w:rsidRPr="00DA7B32">
        <w:rPr>
          <w:rFonts w:ascii="Arial" w:hAnsi="Arial" w:cs="Arial"/>
          <w:b/>
          <w:bCs/>
          <w:color w:val="666666"/>
          <w:lang w:val="es-ES" w:eastAsia="es-ES"/>
        </w:rPr>
        <w:t>- Eximir temporalmente de la obligación del pago de aportes y contribuciones al SIPA sobre los incrementos salariales que resulten de la facultad reconocida en el punto anterior o de la negociación colectiva.</w:t>
      </w:r>
    </w:p>
    <w:p w:rsidR="00DA7B32" w:rsidRPr="00DA7B32" w:rsidRDefault="00DA7B32" w:rsidP="00DA7B32">
      <w:pPr>
        <w:pStyle w:val="errepar1erfrancesnovedades1"/>
        <w:spacing w:line="360" w:lineRule="auto"/>
        <w:rPr>
          <w:rFonts w:ascii="Arial" w:hAnsi="Arial" w:cs="Arial"/>
          <w:b/>
          <w:bCs/>
          <w:color w:val="666666"/>
          <w:lang w:val="es-ES" w:eastAsia="es-ES"/>
        </w:rPr>
      </w:pPr>
      <w:r w:rsidRPr="00DA7B32">
        <w:rPr>
          <w:rFonts w:ascii="Arial" w:hAnsi="Arial" w:cs="Arial"/>
          <w:b/>
          <w:bCs/>
          <w:color w:val="666666"/>
          <w:lang w:val="es-ES" w:eastAsia="es-ES"/>
        </w:rPr>
        <w:t>- Efectuar reducciones de aportes patronales y/o de contribuciones personales al SIPA limitadas a jurisdicciones y actividades específicas o en situaciones críticas.</w:t>
      </w:r>
    </w:p>
    <w:p w:rsidR="00DA7B32" w:rsidRPr="00DA7B32" w:rsidRDefault="00DA7B32" w:rsidP="00DA7B32">
      <w:pPr>
        <w:pStyle w:val="errepar1erfrancesnovedades1"/>
        <w:spacing w:line="360" w:lineRule="auto"/>
        <w:ind w:left="0"/>
        <w:rPr>
          <w:rFonts w:ascii="Arial" w:hAnsi="Arial" w:cs="Arial"/>
          <w:b/>
          <w:color w:val="666666"/>
          <w:u w:val="single"/>
          <w:lang w:val="es-ES" w:eastAsia="es-ES"/>
        </w:rPr>
      </w:pPr>
      <w:r w:rsidRPr="00DA7B32">
        <w:rPr>
          <w:rFonts w:ascii="Arial" w:hAnsi="Arial" w:cs="Arial"/>
          <w:b/>
          <w:color w:val="666666"/>
          <w:lang w:val="es-ES" w:eastAsia="es-ES"/>
        </w:rPr>
        <w:t xml:space="preserve"> - </w:t>
      </w:r>
      <w:r w:rsidRPr="00DA7B32">
        <w:rPr>
          <w:rFonts w:ascii="Arial" w:hAnsi="Arial" w:cs="Arial"/>
          <w:b/>
          <w:color w:val="666666"/>
          <w:u w:val="single"/>
          <w:lang w:val="es-ES" w:eastAsia="es-ES"/>
        </w:rPr>
        <w:t>Sociedades</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Se suspende la aplicación del inciso 5) del artículo 94 de la ley general de sociedades que establece como una causal de disolución la pérdida del capital, así como el artículo 206 que obliga a las sociedades a reducir su capital social cuando las pérdidas insumen las reservas y el 50% del mismo</w:t>
      </w:r>
      <w:r>
        <w:rPr>
          <w:rFonts w:ascii="Arial" w:eastAsia="Times New Roman" w:hAnsi="Arial" w:cs="Arial"/>
          <w:b/>
          <w:bCs/>
          <w:color w:val="666666"/>
          <w:sz w:val="20"/>
          <w:szCs w:val="20"/>
        </w:rPr>
        <w:t>.</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Default="00DA7B32" w:rsidP="00DA7B32">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Aprobación por parte de la Cámara de Diputados</w:t>
      </w:r>
    </w:p>
    <w:p w:rsidR="00DA7B32" w:rsidRDefault="00DA7B32" w:rsidP="00DA7B32">
      <w:pPr>
        <w:pStyle w:val="NormalWeb"/>
        <w:spacing w:before="0" w:beforeAutospacing="0" w:after="0" w:afterAutospacing="0"/>
        <w:jc w:val="both"/>
        <w:rPr>
          <w:rFonts w:ascii="Arial" w:hAnsi="Arial" w:cs="Arial"/>
          <w:b/>
          <w:bCs/>
          <w:caps/>
          <w:color w:val="376889"/>
          <w:sz w:val="21"/>
          <w:szCs w:val="21"/>
        </w:rPr>
      </w:pP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La cámara de diputados aprobó en las primeras horas de la mañana de hoy la “Ley de solidaridad social y reactivación productiva en el marco de la emergencia pública”. La </w:t>
      </w:r>
      <w:r w:rsidRPr="00DA7B32">
        <w:rPr>
          <w:rFonts w:ascii="Arial" w:eastAsia="Times New Roman" w:hAnsi="Arial" w:cs="Arial"/>
          <w:b/>
          <w:bCs/>
          <w:color w:val="666666"/>
          <w:sz w:val="20"/>
          <w:szCs w:val="20"/>
        </w:rPr>
        <w:lastRenderedPageBreak/>
        <w:t>misma tuvo diversas modificaciones con respecto al proyecto de ley original, entre las que se destacan:</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El impuesto del 30% a las operaciones en moneda extranjera se aplica a las nuevas operaciones a partir de la vigencia de la ley;</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Se excluyen del congelamiento de las jubilaciones a determinados sectores vinculados con la ciencia y la docencia;</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 Se elimina el art. que otorgaba </w:t>
      </w:r>
      <w:proofErr w:type="spellStart"/>
      <w:r w:rsidRPr="00DA7B32">
        <w:rPr>
          <w:rFonts w:ascii="Arial" w:eastAsia="Times New Roman" w:hAnsi="Arial" w:cs="Arial"/>
          <w:b/>
          <w:bCs/>
          <w:color w:val="666666"/>
          <w:sz w:val="20"/>
          <w:szCs w:val="20"/>
        </w:rPr>
        <w:t>superpoderes</w:t>
      </w:r>
      <w:proofErr w:type="spellEnd"/>
      <w:r w:rsidRPr="00DA7B32">
        <w:rPr>
          <w:rFonts w:ascii="Arial" w:eastAsia="Times New Roman" w:hAnsi="Arial" w:cs="Arial"/>
          <w:b/>
          <w:bCs/>
          <w:color w:val="666666"/>
          <w:sz w:val="20"/>
          <w:szCs w:val="20"/>
        </w:rPr>
        <w:t xml:space="preserve"> al poder Ejecutivo para intervenir en amplios sectores del estado y los organismos autárquicos</w:t>
      </w:r>
      <w:r>
        <w:rPr>
          <w:rFonts w:ascii="Arial" w:eastAsia="Times New Roman" w:hAnsi="Arial" w:cs="Arial"/>
          <w:b/>
          <w:bCs/>
          <w:color w:val="666666"/>
          <w:sz w:val="20"/>
          <w:szCs w:val="20"/>
        </w:rPr>
        <w:t>.</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Pr="00DA7B32" w:rsidRDefault="00DA7B32" w:rsidP="00DA7B32">
      <w:pPr>
        <w:pStyle w:val="Textosinformato"/>
        <w:rPr>
          <w:rFonts w:ascii="Arial" w:hAnsi="Arial" w:cs="Arial"/>
          <w:b/>
          <w:bCs/>
          <w:caps/>
          <w:color w:val="002F5D"/>
          <w:sz w:val="24"/>
          <w:szCs w:val="24"/>
          <w:lang w:eastAsia="es-ES"/>
        </w:rPr>
      </w:pPr>
      <w:r w:rsidRPr="00DA7B32">
        <w:rPr>
          <w:rFonts w:ascii="Arial" w:hAnsi="Arial" w:cs="Arial"/>
          <w:b/>
          <w:bCs/>
          <w:caps/>
          <w:color w:val="002F5D"/>
          <w:sz w:val="24"/>
          <w:szCs w:val="24"/>
          <w:lang w:eastAsia="es-ES"/>
        </w:rPr>
        <w:t xml:space="preserve">El mercado cambiario al </w:t>
      </w:r>
      <w:proofErr w:type="spellStart"/>
      <w:r w:rsidRPr="00DA7B32">
        <w:rPr>
          <w:rFonts w:ascii="Arial" w:hAnsi="Arial" w:cs="Arial"/>
          <w:b/>
          <w:bCs/>
          <w:caps/>
          <w:color w:val="002F5D"/>
          <w:sz w:val="24"/>
          <w:szCs w:val="24"/>
          <w:lang w:eastAsia="es-ES"/>
        </w:rPr>
        <w:t>dia</w:t>
      </w:r>
      <w:proofErr w:type="spellEnd"/>
      <w:r w:rsidRPr="00DA7B32">
        <w:rPr>
          <w:rFonts w:ascii="Arial" w:hAnsi="Arial" w:cs="Arial"/>
          <w:b/>
          <w:bCs/>
          <w:caps/>
          <w:color w:val="002F5D"/>
          <w:sz w:val="24"/>
          <w:szCs w:val="24"/>
          <w:lang w:eastAsia="es-ES"/>
        </w:rPr>
        <w:t xml:space="preserve"> jueves 19/12/19: </w:t>
      </w:r>
    </w:p>
    <w:p w:rsidR="00DA7B32" w:rsidRPr="00DA7B32" w:rsidRDefault="00DA7B32" w:rsidP="00DA7B32">
      <w:pPr>
        <w:pStyle w:val="Textosinformato"/>
        <w:rPr>
          <w:rFonts w:ascii="Arial" w:eastAsia="Times New Roman" w:hAnsi="Arial" w:cs="Arial"/>
          <w:b/>
          <w:bCs/>
          <w:color w:val="666666"/>
          <w:sz w:val="20"/>
          <w:szCs w:val="20"/>
          <w:lang w:eastAsia="es-ES"/>
        </w:rPr>
      </w:pP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mayorista          </w:t>
      </w:r>
      <w:r>
        <w:rPr>
          <w:rFonts w:ascii="Arial" w:eastAsia="Times New Roman" w:hAnsi="Arial" w:cs="Arial"/>
          <w:b/>
          <w:bCs/>
          <w:color w:val="666666"/>
          <w:sz w:val="20"/>
          <w:szCs w:val="20"/>
          <w:lang w:eastAsia="es-ES"/>
        </w:rPr>
        <w:tab/>
        <w:t xml:space="preserve">   </w:t>
      </w:r>
      <w:r w:rsidRPr="00DA7B32">
        <w:rPr>
          <w:rFonts w:ascii="Arial" w:eastAsia="Times New Roman" w:hAnsi="Arial" w:cs="Arial"/>
          <w:b/>
          <w:bCs/>
          <w:color w:val="666666"/>
          <w:sz w:val="20"/>
          <w:szCs w:val="20"/>
          <w:lang w:eastAsia="es-ES"/>
        </w:rPr>
        <w:t>$ 60,00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oficial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xml:space="preserve">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$ 63,00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ahorro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$ 81,90 (Dólar oficial más 30%)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turismo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$ 81,90 (Dólar oficial más 30%)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w:t>
      </w:r>
      <w:proofErr w:type="spellStart"/>
      <w:r w:rsidRPr="00DA7B32">
        <w:rPr>
          <w:rFonts w:ascii="Arial" w:eastAsia="Times New Roman" w:hAnsi="Arial" w:cs="Arial"/>
          <w:b/>
          <w:bCs/>
          <w:color w:val="666666"/>
          <w:sz w:val="20"/>
          <w:szCs w:val="20"/>
          <w:lang w:eastAsia="es-ES"/>
        </w:rPr>
        <w:t>Netflix</w:t>
      </w:r>
      <w:proofErr w:type="spellEnd"/>
      <w:r w:rsidRPr="00DA7B32">
        <w:rPr>
          <w:rFonts w:ascii="Arial" w:eastAsia="Times New Roman" w:hAnsi="Arial" w:cs="Arial"/>
          <w:b/>
          <w:bCs/>
          <w:color w:val="666666"/>
          <w:sz w:val="20"/>
          <w:szCs w:val="20"/>
          <w:lang w:eastAsia="es-ES"/>
        </w:rPr>
        <w:t xml:space="preserve">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xml:space="preserve">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$ 81,90 (Dólar oficial más 30%)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Bolsa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xml:space="preserve">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$ 73,00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w:t>
      </w:r>
      <w:proofErr w:type="spellStart"/>
      <w:r w:rsidRPr="00DA7B32">
        <w:rPr>
          <w:rFonts w:ascii="Arial" w:eastAsia="Times New Roman" w:hAnsi="Arial" w:cs="Arial"/>
          <w:b/>
          <w:bCs/>
          <w:color w:val="666666"/>
          <w:sz w:val="20"/>
          <w:szCs w:val="20"/>
          <w:lang w:eastAsia="es-ES"/>
        </w:rPr>
        <w:t>blue</w:t>
      </w:r>
      <w:proofErr w:type="spellEnd"/>
      <w:r w:rsidRPr="00DA7B32">
        <w:rPr>
          <w:rFonts w:ascii="Arial" w:eastAsia="Times New Roman" w:hAnsi="Arial" w:cs="Arial"/>
          <w:b/>
          <w:bCs/>
          <w:color w:val="666666"/>
          <w:sz w:val="20"/>
          <w:szCs w:val="20"/>
          <w:lang w:eastAsia="es-ES"/>
        </w:rPr>
        <w:t xml:space="preserve"> o informal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$ 75,00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contado con </w:t>
      </w:r>
      <w:proofErr w:type="spellStart"/>
      <w:r w:rsidRPr="00DA7B32">
        <w:rPr>
          <w:rFonts w:ascii="Arial" w:eastAsia="Times New Roman" w:hAnsi="Arial" w:cs="Arial"/>
          <w:b/>
          <w:bCs/>
          <w:color w:val="666666"/>
          <w:sz w:val="20"/>
          <w:szCs w:val="20"/>
          <w:lang w:eastAsia="es-ES"/>
        </w:rPr>
        <w:t>liqui</w:t>
      </w:r>
      <w:proofErr w:type="spellEnd"/>
      <w:r w:rsidRPr="00DA7B32">
        <w:rPr>
          <w:rFonts w:ascii="Arial" w:eastAsia="Times New Roman" w:hAnsi="Arial" w:cs="Arial"/>
          <w:b/>
          <w:bCs/>
          <w:color w:val="666666"/>
          <w:sz w:val="20"/>
          <w:szCs w:val="20"/>
          <w:lang w:eastAsia="es-ES"/>
        </w:rPr>
        <w:t xml:space="preserve"> $ 75,10</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soja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$ 40,00 (Dólar mayorista menos retención del 33%)</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trigo o maíz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$ 45,00 (Dólar mayorista menos retención del 15%)</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carne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xml:space="preserve"> $ 48,60 (Dólar mayorista menos retenciones del 9%)</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petróleo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$ 55,2</w:t>
      </w:r>
      <w:r>
        <w:rPr>
          <w:rFonts w:ascii="Arial" w:eastAsia="Times New Roman" w:hAnsi="Arial" w:cs="Arial"/>
          <w:b/>
          <w:bCs/>
          <w:color w:val="666666"/>
          <w:sz w:val="20"/>
          <w:szCs w:val="20"/>
          <w:lang w:eastAsia="es-ES"/>
        </w:rPr>
        <w:t xml:space="preserve">0 </w:t>
      </w:r>
      <w:r w:rsidRPr="00DA7B32">
        <w:rPr>
          <w:rFonts w:ascii="Arial" w:eastAsia="Times New Roman" w:hAnsi="Arial" w:cs="Arial"/>
          <w:b/>
          <w:bCs/>
          <w:color w:val="666666"/>
          <w:sz w:val="20"/>
          <w:szCs w:val="20"/>
          <w:lang w:eastAsia="es-ES"/>
        </w:rPr>
        <w:t>(Dólar mayorista menos retenciones del 8%)</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queso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$ 57,00 (Dólar mayorista menos retenciones del 5%)</w:t>
      </w:r>
    </w:p>
    <w:p w:rsidR="00DA7B32" w:rsidRPr="00DA7B32" w:rsidRDefault="00DA7B32" w:rsidP="00DA7B32">
      <w:pPr>
        <w:pStyle w:val="Textosinformato"/>
        <w:spacing w:line="360" w:lineRule="auto"/>
        <w:rPr>
          <w:rFonts w:ascii="Arial" w:eastAsia="Times New Roman" w:hAnsi="Arial" w:cs="Arial"/>
          <w:b/>
          <w:bCs/>
          <w:color w:val="666666"/>
          <w:sz w:val="20"/>
          <w:szCs w:val="20"/>
          <w:lang w:eastAsia="es-ES"/>
        </w:rPr>
      </w:pPr>
      <w:r w:rsidRPr="00DA7B32">
        <w:rPr>
          <w:rFonts w:ascii="Arial" w:eastAsia="Times New Roman" w:hAnsi="Arial" w:cs="Arial"/>
          <w:b/>
          <w:bCs/>
          <w:color w:val="666666"/>
          <w:sz w:val="20"/>
          <w:szCs w:val="20"/>
          <w:lang w:eastAsia="es-ES"/>
        </w:rPr>
        <w:t xml:space="preserve">Dólar futuro             </w:t>
      </w:r>
      <w:r>
        <w:rPr>
          <w:rFonts w:ascii="Arial" w:eastAsia="Times New Roman" w:hAnsi="Arial" w:cs="Arial"/>
          <w:b/>
          <w:bCs/>
          <w:color w:val="666666"/>
          <w:sz w:val="20"/>
          <w:szCs w:val="20"/>
          <w:lang w:eastAsia="es-ES"/>
        </w:rPr>
        <w:t xml:space="preserve">       </w:t>
      </w:r>
      <w:r w:rsidRPr="00DA7B32">
        <w:rPr>
          <w:rFonts w:ascii="Arial" w:eastAsia="Times New Roman" w:hAnsi="Arial" w:cs="Arial"/>
          <w:b/>
          <w:bCs/>
          <w:color w:val="666666"/>
          <w:sz w:val="20"/>
          <w:szCs w:val="20"/>
          <w:lang w:eastAsia="es-ES"/>
        </w:rPr>
        <w:t>$ 61,06 (Dólar a diciembre de 2019 hay 9 más)</w:t>
      </w:r>
    </w:p>
    <w:p w:rsidR="00DA7B32" w:rsidRDefault="00DA7B32" w:rsidP="00DA7B32">
      <w:pPr>
        <w:pStyle w:val="Textosinformato"/>
        <w:spacing w:line="360" w:lineRule="auto"/>
      </w:pPr>
      <w:r w:rsidRPr="00DA7B32">
        <w:rPr>
          <w:rFonts w:ascii="Arial" w:eastAsia="Times New Roman" w:hAnsi="Arial" w:cs="Arial"/>
          <w:b/>
          <w:bCs/>
          <w:color w:val="666666"/>
          <w:sz w:val="20"/>
          <w:szCs w:val="20"/>
          <w:lang w:eastAsia="es-ES"/>
        </w:rPr>
        <w:t>Dólar auto importado     $ 92,04 (Dólar mayorista más impuestos interno</w:t>
      </w:r>
    </w:p>
    <w:p w:rsidR="00DA7B32" w:rsidRP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86094" w:rsidRPr="00D86094" w:rsidRDefault="00D86094" w:rsidP="00D86094">
      <w:pPr>
        <w:spacing w:before="120"/>
        <w:ind w:right="105"/>
        <w:jc w:val="both"/>
        <w:rPr>
          <w:rFonts w:ascii="Arial" w:hAnsi="Arial" w:cs="Arial"/>
          <w:b/>
          <w:bCs/>
          <w:caps/>
          <w:color w:val="002F5D"/>
        </w:rPr>
      </w:pPr>
      <w:r w:rsidRPr="00D86094">
        <w:rPr>
          <w:rFonts w:ascii="Arial" w:hAnsi="Arial" w:cs="Arial"/>
          <w:b/>
          <w:bCs/>
          <w:caps/>
          <w:color w:val="002F5D"/>
        </w:rPr>
        <w:t>JURISPRUDENCIA</w:t>
      </w:r>
    </w:p>
    <w:p w:rsidR="00D86094" w:rsidRDefault="00D86094" w:rsidP="0088157D">
      <w:pPr>
        <w:pStyle w:val="NormalWeb"/>
        <w:spacing w:before="0" w:beforeAutospacing="0" w:after="0" w:afterAutospacing="0"/>
        <w:jc w:val="both"/>
        <w:rPr>
          <w:rFonts w:ascii="Arial" w:eastAsia="Times New Roman" w:hAnsi="Arial" w:cs="Arial"/>
          <w:color w:val="666666"/>
          <w:sz w:val="20"/>
          <w:szCs w:val="20"/>
        </w:rPr>
      </w:pPr>
    </w:p>
    <w:p w:rsidR="00DA7B32" w:rsidRDefault="00DA7B32" w:rsidP="00DA7B32">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GANANCIAS. DISPOSICIÓN DE FONDOS A FAVOR DE TERCEROS. INTERESES PRESUNTOS. NO SE ACREDITÓ QUE FUERA “EN INTERÉS” DE LA EMPRESA</w:t>
      </w:r>
    </w:p>
    <w:p w:rsidR="00DA7B32" w:rsidRDefault="00DA7B32" w:rsidP="00DA7B32">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DA7B32" w:rsidRDefault="00DA7B32" w:rsidP="00DA7B3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Se confirmó el ajuste fiscal de “intereses presuntos”, puesto que si bien la firma destinataria de los préstamos resulta ser un tercero respecto de la actora, lo cierto es que esta última resulta ser controlante y destinataria última de sus utilidades, dándose entonces el supuesto contemplado por el legislador para disparar la aplicación de la presunción contemplada en el artículo 73 de la ley de impuesto a las ganancias (LIG), en tanto no demuestre que el préstamo fue en interés de la empresa. Con respecto a esto </w:t>
      </w:r>
      <w:r w:rsidRPr="00DA7B32">
        <w:rPr>
          <w:rFonts w:ascii="Arial" w:eastAsia="Times New Roman" w:hAnsi="Arial" w:cs="Arial"/>
          <w:b/>
          <w:bCs/>
          <w:color w:val="666666"/>
          <w:sz w:val="20"/>
          <w:szCs w:val="20"/>
        </w:rPr>
        <w:lastRenderedPageBreak/>
        <w:t xml:space="preserve">último, se verifica el supuesto contemplado en el quinto párrafo del artículo 103 del decreto reglamentario de la LIG, dado que la contribuyente celebró sendos mutuos con su vinculada utilizando una tasa de interés que resulta ser inferior en más del 20% a la que debe imputarse de acuerdo con la normativa en cuestión (para los períodos tomados en cuenta, percibió una tasa de interés del 12% nominal anual, cuando le hubiera correspondido una tasa no menor a la fijada por el BNA para descuentos comerciales que, en dichos períodos, fueron mayores en más de un 20% a la que percibió la responsable). </w:t>
      </w:r>
    </w:p>
    <w:p w:rsidR="00DA7B32" w:rsidRDefault="00DA7B32" w:rsidP="00DA7B32">
      <w:pPr>
        <w:pStyle w:val="NormalWeb"/>
        <w:shd w:val="clear" w:color="auto" w:fill="FDE9D9" w:themeFill="accent6" w:themeFillTint="33"/>
        <w:spacing w:before="0" w:beforeAutospacing="0" w:after="0" w:afterAutospacing="0" w:line="360" w:lineRule="auto"/>
        <w:jc w:val="both"/>
        <w:rPr>
          <w:rFonts w:ascii="Arial" w:eastAsia="Times New Roman" w:hAnsi="Arial" w:cs="Arial"/>
          <w:b/>
          <w:bCs/>
          <w:color w:val="666666"/>
          <w:sz w:val="14"/>
          <w:szCs w:val="14"/>
        </w:rPr>
      </w:pPr>
      <w:r w:rsidRPr="00DA7B32">
        <w:rPr>
          <w:rFonts w:ascii="Arial" w:eastAsia="Times New Roman" w:hAnsi="Arial" w:cs="Arial"/>
          <w:b/>
          <w:bCs/>
          <w:color w:val="666666"/>
          <w:sz w:val="14"/>
          <w:szCs w:val="14"/>
        </w:rPr>
        <w:t>METRONEC SA S/RECURSO DE APELACIÓN - TRIB. FISCAL NAC. - SALA A - 03/09/2019</w:t>
      </w:r>
    </w:p>
    <w:p w:rsidR="00DA7B32" w:rsidRDefault="00DA7B32" w:rsidP="00DA7B32">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r w:rsidRPr="00DA7B32">
        <w:rPr>
          <w:rFonts w:ascii="Arial" w:eastAsia="Times New Roman" w:hAnsi="Arial" w:cs="Arial"/>
          <w:b/>
          <w:bCs/>
          <w:color w:val="666666"/>
          <w:sz w:val="20"/>
          <w:szCs w:val="20"/>
        </w:rPr>
        <w:br/>
      </w:r>
      <w:r>
        <w:rPr>
          <w:rFonts w:ascii="Arial" w:hAnsi="Arial" w:cs="Arial"/>
          <w:b/>
          <w:bCs/>
          <w:caps/>
          <w:color w:val="376889"/>
          <w:sz w:val="21"/>
          <w:szCs w:val="21"/>
        </w:rPr>
        <w:t>VALOR AGREGADO. CRÉDITO FISCAL. CÓMPUTO. FACTURAS A NOMBRE DE OTRA FIRMA. NO APLICA LA DOCTRINA DE LA CONCURRENCIA DE LOS ELEMENTOS MATERIAL Y FORMAL DEL CRÉDITO FISCAL</w:t>
      </w:r>
    </w:p>
    <w:p w:rsidR="00DA7B32" w:rsidRDefault="00DA7B32" w:rsidP="00DA7B32">
      <w:pPr>
        <w:shd w:val="clear" w:color="auto" w:fill="FDE9D9" w:themeFill="accent6" w:themeFillTint="33"/>
        <w:spacing w:before="120"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Se determinó el IVA a la actora, al haberse impugnado el cómputo de los créditos fiscales y las percepciones efectuadas por las compras a su único proveedor en razón de que los comprobantes extendidos por esta estaban a nombre de otra firma, que estaba integrada por tres socios, dos de los cuales son también socios de la apelante.</w:t>
      </w:r>
    </w:p>
    <w:p w:rsidR="00DA7B32" w:rsidRDefault="00DA7B32" w:rsidP="00DA7B32">
      <w:pPr>
        <w:shd w:val="clear" w:color="auto" w:fill="FDE9D9" w:themeFill="accent6" w:themeFillTint="33"/>
        <w:spacing w:before="120"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Se revocó, por mayoría, el ajuste fiscal, al considerarse las declaraciones de hecho probadas en la sentencia penal. Se destacó que si bien la actora incumplió con los recaudos que impone el artículo 12 de la ley del gravamen, incurriendo en deficiencias documentales, las pruebas rendidas demuestran que la titular de las compras, la que las pagó desde sus cuentas bancarias y recibió la mercadería de su planta habilitada, fue la actora, por lo que cabe excepcionalmente reconocer a esta los créditos fiscales y las percepciones derivadas de dicha operatoria; máxime cuando a la misma vez no surge invocado ni probado, ni por la fiscalización ni por el juez administrativo, que por las mismas operaciones se haya impugnado a la sociedad de hecho el gasto en el impuesto a las ganancias.</w:t>
      </w:r>
    </w:p>
    <w:p w:rsidR="00DA7B32" w:rsidRDefault="00DA7B32" w:rsidP="00DA7B32">
      <w:pPr>
        <w:shd w:val="clear" w:color="auto" w:fill="FDE9D9" w:themeFill="accent6" w:themeFillTint="33"/>
        <w:spacing w:before="120" w:line="360" w:lineRule="auto"/>
        <w:ind w:left="105" w:right="105"/>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Disidencia: en minoría, la doctora Gómez votó por confirmar el acto apelado. Destacó que el artículo 12 de la ley de IVA es claro al establecer que los responsables restarán el gravamen que se les hubiera facturado, encontrándose fuera de discusión que la operatoria que generó el crédito fiscal que la actora pretende descontar en el IVA no le fue a ella facturado sino a un tercero, y que además intenta ampararse en justificativos que obedecen a las particularidades de su vínculo comercial con la otra firma, los que además de no encontrarse probados por la informativa producida, tampoco resultan relevantes para revisar el cumplimiento de los requisitos formales aplicables en materia tributaria. Cita jurisprudencia de este Tribunal sobre la denominada doctrina de la “concurrencia de los elementos materiales y formales del crédito fiscal”. </w:t>
      </w:r>
    </w:p>
    <w:p w:rsidR="00BD286D" w:rsidRPr="00DA7B32" w:rsidRDefault="00DA7B32" w:rsidP="00DA7B32">
      <w:pPr>
        <w:shd w:val="clear" w:color="auto" w:fill="FDE9D9" w:themeFill="accent6" w:themeFillTint="33"/>
        <w:spacing w:before="120" w:line="360" w:lineRule="auto"/>
        <w:ind w:left="105" w:right="105"/>
        <w:jc w:val="both"/>
        <w:rPr>
          <w:rFonts w:ascii="Arial" w:eastAsia="Times New Roman" w:hAnsi="Arial" w:cs="Arial"/>
          <w:b/>
          <w:bCs/>
          <w:color w:val="666666"/>
          <w:sz w:val="14"/>
          <w:szCs w:val="14"/>
        </w:rPr>
      </w:pPr>
      <w:r w:rsidRPr="00DA7B32">
        <w:rPr>
          <w:rFonts w:ascii="Arial" w:eastAsia="Times New Roman" w:hAnsi="Arial" w:cs="Arial"/>
          <w:b/>
          <w:bCs/>
          <w:color w:val="666666"/>
          <w:sz w:val="14"/>
          <w:szCs w:val="14"/>
        </w:rPr>
        <w:t>QUILSA COM AR SH S/RECURSO DE APELACIÓN - TRIB. FISCAL NAC. - SALA D - 06/08/2019</w:t>
      </w:r>
    </w:p>
    <w:p w:rsidR="00DA7B32" w:rsidRDefault="00DA7B32" w:rsidP="0088157D">
      <w:pPr>
        <w:pStyle w:val="NormalWeb"/>
        <w:spacing w:before="0" w:beforeAutospacing="0" w:after="0" w:afterAutospacing="0"/>
        <w:jc w:val="both"/>
        <w:rPr>
          <w:rFonts w:ascii="Arial" w:hAnsi="Arial" w:cs="Arial"/>
          <w:b/>
          <w:bCs/>
          <w:caps/>
          <w:color w:val="002F5D"/>
        </w:rPr>
      </w:pPr>
    </w:p>
    <w:p w:rsidR="00D86094" w:rsidRDefault="00D86094" w:rsidP="00D86094">
      <w:pPr>
        <w:pStyle w:val="NormalWeb"/>
        <w:spacing w:before="0" w:beforeAutospacing="0" w:after="0" w:afterAutospacing="0" w:line="360" w:lineRule="auto"/>
        <w:jc w:val="both"/>
        <w:rPr>
          <w:rFonts w:ascii="Arial" w:eastAsia="Times New Roman" w:hAnsi="Arial" w:cs="Arial"/>
          <w:b/>
          <w:bCs/>
          <w:color w:val="666666"/>
          <w:sz w:val="20"/>
          <w:szCs w:val="20"/>
        </w:rPr>
      </w:pPr>
    </w:p>
    <w:p w:rsidR="00CE400C" w:rsidRPr="00CE400C" w:rsidRDefault="00CE400C" w:rsidP="00CE400C">
      <w:pPr>
        <w:pStyle w:val="NormalWeb"/>
        <w:spacing w:before="0" w:beforeAutospacing="0" w:after="0" w:afterAutospacing="0"/>
        <w:jc w:val="center"/>
        <w:rPr>
          <w:rFonts w:ascii="Arial" w:hAnsi="Arial" w:cs="Arial"/>
          <w:b/>
          <w:bCs/>
          <w:caps/>
          <w:color w:val="7E4F6F"/>
          <w:sz w:val="28"/>
          <w:szCs w:val="28"/>
        </w:rPr>
      </w:pPr>
      <w:r w:rsidRPr="00CE400C">
        <w:rPr>
          <w:rFonts w:ascii="Arial" w:hAnsi="Arial" w:cs="Arial"/>
          <w:b/>
          <w:bCs/>
          <w:caps/>
          <w:color w:val="7E4F6F"/>
          <w:sz w:val="28"/>
          <w:szCs w:val="28"/>
        </w:rPr>
        <w:t>LABORALES - PREVISIONALES</w:t>
      </w:r>
    </w:p>
    <w:p w:rsidR="00CE400C" w:rsidRDefault="00CE400C" w:rsidP="00CE400C">
      <w:pPr>
        <w:pStyle w:val="NormalWeb"/>
        <w:spacing w:before="0" w:beforeAutospacing="0" w:after="0" w:afterAutospacing="0" w:line="360" w:lineRule="auto"/>
        <w:jc w:val="both"/>
        <w:rPr>
          <w:rFonts w:ascii="Arial" w:eastAsia="Times New Roman" w:hAnsi="Arial" w:cs="Arial"/>
          <w:b/>
          <w:bCs/>
          <w:color w:val="666666"/>
          <w:sz w:val="20"/>
          <w:szCs w:val="20"/>
        </w:rPr>
      </w:pPr>
    </w:p>
    <w:p w:rsidR="00D86094" w:rsidRDefault="00D86094" w:rsidP="00A7476B">
      <w:pPr>
        <w:pStyle w:val="NormalWeb"/>
        <w:spacing w:before="0" w:beforeAutospacing="0" w:after="0" w:afterAutospacing="0" w:line="360" w:lineRule="auto"/>
        <w:jc w:val="both"/>
        <w:rPr>
          <w:rFonts w:ascii="Arial" w:hAnsi="Arial" w:cs="Arial"/>
          <w:b/>
          <w:bCs/>
          <w:caps/>
          <w:color w:val="7E4F6F"/>
          <w:sz w:val="22"/>
          <w:szCs w:val="22"/>
        </w:rPr>
      </w:pPr>
      <w:r>
        <w:rPr>
          <w:rFonts w:ascii="Arial" w:hAnsi="Arial" w:cs="Arial"/>
          <w:b/>
          <w:bCs/>
          <w:caps/>
          <w:color w:val="7E4F6F"/>
          <w:sz w:val="22"/>
          <w:szCs w:val="22"/>
        </w:rPr>
        <w:t>legislacion</w:t>
      </w:r>
    </w:p>
    <w:p w:rsidR="00DA7B32" w:rsidRDefault="00DA7B32" w:rsidP="00DA7B32">
      <w:pPr>
        <w:pStyle w:val="NormalWeb"/>
        <w:spacing w:before="0" w:beforeAutospacing="0" w:after="0" w:afterAutospacing="0"/>
        <w:jc w:val="both"/>
        <w:rPr>
          <w:rFonts w:ascii="Arial" w:hAnsi="Arial" w:cs="Arial"/>
          <w:b/>
          <w:bCs/>
          <w:caps/>
          <w:color w:val="7E4F6F"/>
          <w:sz w:val="21"/>
          <w:szCs w:val="21"/>
        </w:rPr>
      </w:pPr>
      <w:r w:rsidRPr="00DA7B32">
        <w:rPr>
          <w:rFonts w:ascii="Arial" w:hAnsi="Arial" w:cs="Arial"/>
          <w:b/>
          <w:bCs/>
          <w:caps/>
          <w:color w:val="7E4F6F"/>
          <w:sz w:val="21"/>
          <w:szCs w:val="21"/>
        </w:rPr>
        <w:t>Doble indemnización por despido sin causa - DECRETO (Poder Ejecutivo Nacional) 34/2019</w:t>
      </w:r>
    </w:p>
    <w:p w:rsidR="00DA7B32" w:rsidRDefault="00DA7B32" w:rsidP="00DA7B32">
      <w:pPr>
        <w:pStyle w:val="NormalWeb"/>
        <w:spacing w:before="0" w:beforeAutospacing="0" w:after="0" w:afterAutospacing="0"/>
        <w:jc w:val="both"/>
        <w:rPr>
          <w:rFonts w:ascii="Arial" w:hAnsi="Arial" w:cs="Arial"/>
          <w:b/>
          <w:bCs/>
          <w:caps/>
          <w:color w:val="7E4F6F"/>
          <w:sz w:val="21"/>
          <w:szCs w:val="21"/>
        </w:rPr>
      </w:pP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Entre los principales aspectos, se destacan:</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Se declara la emergencia pública en materia ocupacional por 180 días, a partir del 13 de diciembre de 2019.</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 El trabajador despedido sin justa causa tendrá derecho a percibir el doble de la indemnización conforme a la legislación laboral. </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La duplicación comprende todos los rubros indemnizatorios.</w:t>
      </w:r>
    </w:p>
    <w:p w:rsid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La medida no alcanza a los contratos laborales celebrados con posterioridad a la entrada en vigencia del presente decreto</w:t>
      </w:r>
      <w:r>
        <w:rPr>
          <w:rFonts w:ascii="Arial" w:eastAsia="Times New Roman" w:hAnsi="Arial" w:cs="Arial"/>
          <w:b/>
          <w:bCs/>
          <w:color w:val="666666"/>
          <w:sz w:val="20"/>
          <w:szCs w:val="20"/>
        </w:rPr>
        <w:t>.</w:t>
      </w:r>
    </w:p>
    <w:p w:rsidR="00DA7B32" w:rsidRP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p>
    <w:p w:rsidR="00DA7B32" w:rsidRDefault="00DA7B32" w:rsidP="00D86094">
      <w:pPr>
        <w:pStyle w:val="NormalWeb"/>
        <w:spacing w:before="0" w:beforeAutospacing="0" w:after="0" w:afterAutospacing="0"/>
        <w:jc w:val="both"/>
        <w:rPr>
          <w:rFonts w:ascii="Arial" w:hAnsi="Arial" w:cs="Arial"/>
          <w:b/>
          <w:bCs/>
          <w:caps/>
          <w:color w:val="7E4F6F"/>
          <w:sz w:val="21"/>
          <w:szCs w:val="21"/>
        </w:rPr>
      </w:pPr>
    </w:p>
    <w:p w:rsidR="00D86094" w:rsidRDefault="00DA7B32" w:rsidP="00D86094">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INCREMENTO DE LOS APORTES A PARTIR DEL DEVENGADO DICIEMBRE DE 2019</w:t>
      </w:r>
      <w:r w:rsidR="00D86094">
        <w:rPr>
          <w:rFonts w:ascii="Arial" w:hAnsi="Arial" w:cs="Arial"/>
          <w:b/>
          <w:bCs/>
          <w:caps/>
          <w:color w:val="7E4F6F"/>
          <w:sz w:val="21"/>
          <w:szCs w:val="21"/>
        </w:rPr>
        <w:t xml:space="preserve"> agosto de 2019: nuevos beneficiarios - </w:t>
      </w:r>
      <w:r w:rsidR="00D86094" w:rsidRPr="00D86094">
        <w:rPr>
          <w:rFonts w:ascii="Arial" w:hAnsi="Arial" w:cs="Arial"/>
          <w:b/>
          <w:bCs/>
          <w:caps/>
          <w:color w:val="7E4F6F"/>
          <w:sz w:val="21"/>
          <w:szCs w:val="21"/>
        </w:rPr>
        <w:t>DECRETO (Poder Ejecutivo) 867/2019</w:t>
      </w:r>
      <w:r w:rsidR="00D86094">
        <w:rPr>
          <w:rFonts w:ascii="Arial" w:hAnsi="Arial" w:cs="Arial"/>
          <w:b/>
          <w:bCs/>
          <w:caps/>
          <w:color w:val="7E4F6F"/>
          <w:sz w:val="21"/>
          <w:szCs w:val="21"/>
        </w:rPr>
        <w:t>.</w:t>
      </w:r>
    </w:p>
    <w:p w:rsidR="00D86094" w:rsidRDefault="00D86094" w:rsidP="00D86094">
      <w:pPr>
        <w:pStyle w:val="NormalWeb"/>
        <w:spacing w:before="0" w:beforeAutospacing="0" w:after="0" w:afterAutospacing="0"/>
        <w:jc w:val="both"/>
        <w:rPr>
          <w:rFonts w:ascii="Arial" w:hAnsi="Arial" w:cs="Arial"/>
          <w:b/>
          <w:bCs/>
          <w:caps/>
          <w:color w:val="7E4F6F"/>
          <w:sz w:val="21"/>
          <w:szCs w:val="21"/>
        </w:rPr>
      </w:pPr>
    </w:p>
    <w:p w:rsidR="00D86094" w:rsidRPr="00DA7B32" w:rsidRDefault="00DA7B32" w:rsidP="00A7476B">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La AFIP dio a conocer los nuevos valores de los aportes mensuales de los trabajadores autónomos con destino a la Seguridad Social, que se incrementan a partir del mes devengado diciembre de 2019 -con vencimiento durante el mes de enero de 2020-, por aplicación del régimen de movilidad dispuesto por la ley 27426</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Pr>
          <w:rFonts w:ascii="Arial" w:eastAsia="Times New Roman" w:hAnsi="Arial" w:cs="Arial"/>
          <w:b/>
          <w:bCs/>
          <w:color w:val="666666"/>
          <w:sz w:val="20"/>
          <w:szCs w:val="20"/>
        </w:rPr>
        <w:t>V</w:t>
      </w:r>
      <w:r w:rsidRPr="00DA7B32">
        <w:rPr>
          <w:rFonts w:ascii="Arial" w:eastAsia="Times New Roman" w:hAnsi="Arial" w:cs="Arial"/>
          <w:b/>
          <w:bCs/>
          <w:color w:val="666666"/>
          <w:sz w:val="20"/>
          <w:szCs w:val="20"/>
        </w:rPr>
        <w:t>alores vigentes para los trabajadores autónomos a</w:t>
      </w:r>
      <w:r>
        <w:rPr>
          <w:rFonts w:ascii="Arial" w:eastAsia="Times New Roman" w:hAnsi="Arial" w:cs="Arial"/>
          <w:b/>
          <w:bCs/>
          <w:color w:val="666666"/>
          <w:sz w:val="20"/>
          <w:szCs w:val="20"/>
        </w:rPr>
        <w:t xml:space="preserve"> </w:t>
      </w:r>
      <w:r w:rsidRPr="00DA7B32">
        <w:rPr>
          <w:rFonts w:ascii="Arial" w:eastAsia="Times New Roman" w:hAnsi="Arial" w:cs="Arial"/>
          <w:b/>
          <w:bCs/>
          <w:color w:val="666666"/>
          <w:sz w:val="20"/>
          <w:szCs w:val="20"/>
        </w:rPr>
        <w:t>partir de diciembre 2019</w:t>
      </w:r>
      <w:r>
        <w:rPr>
          <w:rFonts w:ascii="Arial" w:eastAsia="Times New Roman" w:hAnsi="Arial" w:cs="Arial"/>
          <w:b/>
          <w:bCs/>
          <w:color w:val="666666"/>
          <w:sz w:val="20"/>
          <w:szCs w:val="20"/>
        </w:rPr>
        <w:t>:</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Estos valores entrarán en vigencia a partir las 00:00 Hs del día 15/12/2019</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A) Aportes mensuales de los trabajadores autónomos</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Categorías Importes en pesos</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I </w:t>
      </w:r>
      <w:r>
        <w:rPr>
          <w:rFonts w:ascii="Arial" w:eastAsia="Times New Roman" w:hAnsi="Arial" w:cs="Arial"/>
          <w:b/>
          <w:bCs/>
          <w:color w:val="666666"/>
          <w:sz w:val="20"/>
          <w:szCs w:val="20"/>
        </w:rPr>
        <w:tab/>
      </w:r>
      <w:r w:rsidRPr="00DA7B32">
        <w:rPr>
          <w:rFonts w:ascii="Arial" w:eastAsia="Times New Roman" w:hAnsi="Arial" w:cs="Arial"/>
          <w:b/>
          <w:bCs/>
          <w:color w:val="666666"/>
          <w:sz w:val="20"/>
          <w:szCs w:val="20"/>
        </w:rPr>
        <w:t>2</w:t>
      </w:r>
      <w:r>
        <w:rPr>
          <w:rFonts w:ascii="Arial" w:eastAsia="Times New Roman" w:hAnsi="Arial" w:cs="Arial"/>
          <w:b/>
          <w:bCs/>
          <w:color w:val="666666"/>
          <w:sz w:val="20"/>
          <w:szCs w:val="20"/>
        </w:rPr>
        <w:t>.</w:t>
      </w:r>
      <w:r w:rsidRPr="00DA7B32">
        <w:rPr>
          <w:rFonts w:ascii="Arial" w:eastAsia="Times New Roman" w:hAnsi="Arial" w:cs="Arial"/>
          <w:b/>
          <w:bCs/>
          <w:color w:val="666666"/>
          <w:sz w:val="20"/>
          <w:szCs w:val="20"/>
        </w:rPr>
        <w:t>609,70</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II </w:t>
      </w:r>
      <w:r>
        <w:rPr>
          <w:rFonts w:ascii="Arial" w:eastAsia="Times New Roman" w:hAnsi="Arial" w:cs="Arial"/>
          <w:b/>
          <w:bCs/>
          <w:color w:val="666666"/>
          <w:sz w:val="20"/>
          <w:szCs w:val="20"/>
        </w:rPr>
        <w:tab/>
      </w:r>
      <w:r w:rsidRPr="00DA7B32">
        <w:rPr>
          <w:rFonts w:ascii="Arial" w:eastAsia="Times New Roman" w:hAnsi="Arial" w:cs="Arial"/>
          <w:b/>
          <w:bCs/>
          <w:color w:val="666666"/>
          <w:sz w:val="20"/>
          <w:szCs w:val="20"/>
        </w:rPr>
        <w:t>3</w:t>
      </w:r>
      <w:r>
        <w:rPr>
          <w:rFonts w:ascii="Arial" w:eastAsia="Times New Roman" w:hAnsi="Arial" w:cs="Arial"/>
          <w:b/>
          <w:bCs/>
          <w:color w:val="666666"/>
          <w:sz w:val="20"/>
          <w:szCs w:val="20"/>
        </w:rPr>
        <w:t>.</w:t>
      </w:r>
      <w:r w:rsidRPr="00DA7B32">
        <w:rPr>
          <w:rFonts w:ascii="Arial" w:eastAsia="Times New Roman" w:hAnsi="Arial" w:cs="Arial"/>
          <w:b/>
          <w:bCs/>
          <w:color w:val="666666"/>
          <w:sz w:val="20"/>
          <w:szCs w:val="20"/>
        </w:rPr>
        <w:t>653,56</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III </w:t>
      </w:r>
      <w:r>
        <w:rPr>
          <w:rFonts w:ascii="Arial" w:eastAsia="Times New Roman" w:hAnsi="Arial" w:cs="Arial"/>
          <w:b/>
          <w:bCs/>
          <w:color w:val="666666"/>
          <w:sz w:val="20"/>
          <w:szCs w:val="20"/>
        </w:rPr>
        <w:tab/>
      </w:r>
      <w:r w:rsidRPr="00DA7B32">
        <w:rPr>
          <w:rFonts w:ascii="Arial" w:eastAsia="Times New Roman" w:hAnsi="Arial" w:cs="Arial"/>
          <w:b/>
          <w:bCs/>
          <w:color w:val="666666"/>
          <w:sz w:val="20"/>
          <w:szCs w:val="20"/>
        </w:rPr>
        <w:t>5</w:t>
      </w:r>
      <w:r>
        <w:rPr>
          <w:rFonts w:ascii="Arial" w:eastAsia="Times New Roman" w:hAnsi="Arial" w:cs="Arial"/>
          <w:b/>
          <w:bCs/>
          <w:color w:val="666666"/>
          <w:sz w:val="20"/>
          <w:szCs w:val="20"/>
        </w:rPr>
        <w:t>.</w:t>
      </w:r>
      <w:r w:rsidRPr="00DA7B32">
        <w:rPr>
          <w:rFonts w:ascii="Arial" w:eastAsia="Times New Roman" w:hAnsi="Arial" w:cs="Arial"/>
          <w:b/>
          <w:bCs/>
          <w:color w:val="666666"/>
          <w:sz w:val="20"/>
          <w:szCs w:val="20"/>
        </w:rPr>
        <w:t>219,40</w:t>
      </w:r>
    </w:p>
    <w:p w:rsidR="00DA7B32" w:rsidRPr="00DA7B32" w:rsidRDefault="00DA7B32" w:rsidP="00DA7B32">
      <w:pPr>
        <w:autoSpaceDE w:val="0"/>
        <w:autoSpaceDN w:val="0"/>
        <w:adjustRightInd w:val="0"/>
        <w:spacing w:line="360" w:lineRule="auto"/>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IV </w:t>
      </w:r>
      <w:r>
        <w:rPr>
          <w:rFonts w:ascii="Arial" w:eastAsia="Times New Roman" w:hAnsi="Arial" w:cs="Arial"/>
          <w:b/>
          <w:bCs/>
          <w:color w:val="666666"/>
          <w:sz w:val="20"/>
          <w:szCs w:val="20"/>
        </w:rPr>
        <w:tab/>
      </w:r>
      <w:r w:rsidRPr="00DA7B32">
        <w:rPr>
          <w:rFonts w:ascii="Arial" w:eastAsia="Times New Roman" w:hAnsi="Arial" w:cs="Arial"/>
          <w:b/>
          <w:bCs/>
          <w:color w:val="666666"/>
          <w:sz w:val="20"/>
          <w:szCs w:val="20"/>
        </w:rPr>
        <w:t>8</w:t>
      </w:r>
      <w:r>
        <w:rPr>
          <w:rFonts w:ascii="Arial" w:eastAsia="Times New Roman" w:hAnsi="Arial" w:cs="Arial"/>
          <w:b/>
          <w:bCs/>
          <w:color w:val="666666"/>
          <w:sz w:val="20"/>
          <w:szCs w:val="20"/>
        </w:rPr>
        <w:t>.</w:t>
      </w:r>
      <w:r w:rsidRPr="00DA7B32">
        <w:rPr>
          <w:rFonts w:ascii="Arial" w:eastAsia="Times New Roman" w:hAnsi="Arial" w:cs="Arial"/>
          <w:b/>
          <w:bCs/>
          <w:color w:val="666666"/>
          <w:sz w:val="20"/>
          <w:szCs w:val="20"/>
        </w:rPr>
        <w:t>351,04</w:t>
      </w:r>
    </w:p>
    <w:p w:rsidR="00DA7B32" w:rsidRPr="00DA7B32" w:rsidRDefault="00DA7B32" w:rsidP="00DA7B32">
      <w:pPr>
        <w:pStyle w:val="NormalWeb"/>
        <w:spacing w:before="0" w:beforeAutospacing="0" w:after="0" w:afterAutospacing="0"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V </w:t>
      </w:r>
      <w:r>
        <w:rPr>
          <w:rFonts w:ascii="Arial" w:eastAsia="Times New Roman" w:hAnsi="Arial" w:cs="Arial"/>
          <w:b/>
          <w:bCs/>
          <w:color w:val="666666"/>
          <w:sz w:val="20"/>
          <w:szCs w:val="20"/>
        </w:rPr>
        <w:t xml:space="preserve">       </w:t>
      </w:r>
      <w:r w:rsidRPr="00DA7B32">
        <w:rPr>
          <w:rFonts w:ascii="Arial" w:eastAsia="Times New Roman" w:hAnsi="Arial" w:cs="Arial"/>
          <w:b/>
          <w:bCs/>
          <w:color w:val="666666"/>
          <w:sz w:val="20"/>
          <w:szCs w:val="20"/>
        </w:rPr>
        <w:t>11</w:t>
      </w:r>
      <w:r>
        <w:rPr>
          <w:rFonts w:ascii="Arial" w:eastAsia="Times New Roman" w:hAnsi="Arial" w:cs="Arial"/>
          <w:b/>
          <w:bCs/>
          <w:color w:val="666666"/>
          <w:sz w:val="20"/>
          <w:szCs w:val="20"/>
        </w:rPr>
        <w:t>.</w:t>
      </w:r>
      <w:r w:rsidRPr="00DA7B32">
        <w:rPr>
          <w:rFonts w:ascii="Arial" w:eastAsia="Times New Roman" w:hAnsi="Arial" w:cs="Arial"/>
          <w:b/>
          <w:bCs/>
          <w:color w:val="666666"/>
          <w:sz w:val="20"/>
          <w:szCs w:val="20"/>
        </w:rPr>
        <w:t>482,68</w:t>
      </w:r>
    </w:p>
    <w:p w:rsidR="00DA7B32" w:rsidRDefault="00DA7B32" w:rsidP="00A7476B">
      <w:pPr>
        <w:pStyle w:val="NormalWeb"/>
        <w:spacing w:before="0" w:beforeAutospacing="0" w:after="0" w:afterAutospacing="0" w:line="360" w:lineRule="auto"/>
        <w:jc w:val="both"/>
        <w:rPr>
          <w:rFonts w:ascii="Arial" w:eastAsia="Times New Roman" w:hAnsi="Arial" w:cs="Arial"/>
          <w:color w:val="666666"/>
          <w:sz w:val="20"/>
          <w:szCs w:val="20"/>
        </w:rPr>
      </w:pPr>
    </w:p>
    <w:p w:rsidR="00DA7B32" w:rsidRDefault="00DA7B32" w:rsidP="00DA7B32">
      <w:pPr>
        <w:pStyle w:val="NormalWeb"/>
        <w:spacing w:before="0" w:beforeAutospacing="0" w:after="0" w:afterAutospacing="0"/>
        <w:jc w:val="both"/>
        <w:rPr>
          <w:rFonts w:ascii="Arial" w:hAnsi="Arial" w:cs="Arial"/>
          <w:b/>
          <w:bCs/>
          <w:caps/>
          <w:color w:val="7E4F6F"/>
          <w:sz w:val="21"/>
          <w:szCs w:val="21"/>
        </w:rPr>
      </w:pPr>
      <w:r w:rsidRPr="00DA7B32">
        <w:rPr>
          <w:rFonts w:ascii="Arial" w:hAnsi="Arial" w:cs="Arial"/>
          <w:b/>
          <w:bCs/>
          <w:caps/>
          <w:color w:val="7E4F6F"/>
          <w:sz w:val="21"/>
          <w:szCs w:val="21"/>
        </w:rPr>
        <w:t>DOBLE INDEMNIZACIÓN PARA EL DESPIDO SIN JUSTA CAUSA, DECRETO 34/2019. PERSONAL DE CASAS PARTICULARES, LEY 26844. EFECTOS</w:t>
      </w:r>
    </w:p>
    <w:p w:rsidR="00DA7B32" w:rsidRPr="00DA7B32" w:rsidRDefault="00DA7B32" w:rsidP="00DA7B32">
      <w:pPr>
        <w:pStyle w:val="NormalWeb"/>
        <w:spacing w:before="0" w:beforeAutospacing="0" w:after="0" w:afterAutospacing="0"/>
        <w:jc w:val="both"/>
        <w:rPr>
          <w:rFonts w:ascii="Arial" w:hAnsi="Arial" w:cs="Arial"/>
          <w:b/>
          <w:bCs/>
          <w:caps/>
          <w:color w:val="7E4F6F"/>
          <w:sz w:val="21"/>
          <w:szCs w:val="21"/>
        </w:rPr>
      </w:pPr>
    </w:p>
    <w:p w:rsidR="00DA7B32" w:rsidRDefault="00DA7B32" w:rsidP="00DA7B32">
      <w:pPr>
        <w:pStyle w:val="NormalWeb"/>
        <w:spacing w:before="0" w:beforeAutospacing="0" w:after="0" w:afterAutospacing="0"/>
        <w:jc w:val="both"/>
        <w:rPr>
          <w:rFonts w:ascii="Arial" w:hAnsi="Arial" w:cs="Arial"/>
          <w:b/>
          <w:bCs/>
          <w:color w:val="7E4F6F"/>
          <w:sz w:val="20"/>
          <w:szCs w:val="20"/>
        </w:rPr>
      </w:pPr>
      <w:r>
        <w:rPr>
          <w:rFonts w:ascii="Arial" w:hAnsi="Arial" w:cs="Arial"/>
          <w:b/>
          <w:bCs/>
          <w:color w:val="7E4F6F"/>
          <w:sz w:val="20"/>
          <w:szCs w:val="20"/>
        </w:rPr>
        <w:lastRenderedPageBreak/>
        <w:t xml:space="preserve">¿Qué efectos tiene el decreto sobre los despidos </w:t>
      </w:r>
      <w:proofErr w:type="spellStart"/>
      <w:r>
        <w:rPr>
          <w:rFonts w:ascii="Arial" w:hAnsi="Arial" w:cs="Arial"/>
          <w:b/>
          <w:bCs/>
          <w:color w:val="7E4F6F"/>
          <w:sz w:val="20"/>
          <w:szCs w:val="20"/>
        </w:rPr>
        <w:t>incausados</w:t>
      </w:r>
      <w:proofErr w:type="spellEnd"/>
      <w:r>
        <w:rPr>
          <w:rFonts w:ascii="Arial" w:hAnsi="Arial" w:cs="Arial"/>
          <w:b/>
          <w:bCs/>
          <w:color w:val="7E4F6F"/>
          <w:sz w:val="20"/>
          <w:szCs w:val="20"/>
        </w:rPr>
        <w:t xml:space="preserve"> de los trabajadores alcanzados por la ley 26844 de casas particulares?</w:t>
      </w:r>
    </w:p>
    <w:p w:rsidR="00DA7B32" w:rsidRDefault="00DA7B32" w:rsidP="00DA7B32">
      <w:pPr>
        <w:pStyle w:val="NormalWeb"/>
        <w:spacing w:before="0" w:beforeAutospacing="0" w:after="0" w:afterAutospacing="0"/>
        <w:jc w:val="both"/>
        <w:rPr>
          <w:rFonts w:ascii="Arial" w:hAnsi="Arial" w:cs="Arial"/>
          <w:b/>
          <w:bCs/>
          <w:color w:val="7E4F6F"/>
          <w:sz w:val="20"/>
          <w:szCs w:val="20"/>
        </w:rPr>
      </w:pPr>
    </w:p>
    <w:p w:rsidR="00DA7B32" w:rsidRDefault="00DA7B32" w:rsidP="00DA7B32">
      <w:pPr>
        <w:autoSpaceDE w:val="0"/>
        <w:autoSpaceDN w:val="0"/>
        <w:adjustRightInd w:val="0"/>
        <w:spacing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 xml:space="preserve">Para el caso de los trabajadores comprendidos en la ley 26844 de casas particulares, el decreto 34/2019 no establece exclusión u observación alguna, por lo cual quedan plenamente incluidos en los alcances de sus disposiciones. </w:t>
      </w:r>
    </w:p>
    <w:p w:rsidR="00DA7B32" w:rsidRDefault="00DA7B32" w:rsidP="00DA7B32">
      <w:pPr>
        <w:autoSpaceDE w:val="0"/>
        <w:autoSpaceDN w:val="0"/>
        <w:adjustRightInd w:val="0"/>
        <w:spacing w:line="360" w:lineRule="auto"/>
        <w:jc w:val="both"/>
        <w:rPr>
          <w:rFonts w:ascii="Arial" w:eastAsia="Times New Roman" w:hAnsi="Arial" w:cs="Arial"/>
          <w:b/>
          <w:bCs/>
          <w:color w:val="666666"/>
          <w:sz w:val="20"/>
          <w:szCs w:val="20"/>
        </w:rPr>
      </w:pPr>
      <w:r w:rsidRPr="00DA7B32">
        <w:rPr>
          <w:rFonts w:ascii="Arial" w:eastAsia="Times New Roman" w:hAnsi="Arial" w:cs="Arial"/>
          <w:b/>
          <w:bCs/>
          <w:color w:val="666666"/>
          <w:sz w:val="20"/>
          <w:szCs w:val="20"/>
        </w:rPr>
        <w:t>Por consiguiente, corresponderían duplicarse las indemnizaciones previstas por los artículos 43 (indemnización sustitutiva por falta de preaviso), 44 (indemnización por integración del mes de despido) y 48 (indemnización por antigüedad) de la ley 26844</w:t>
      </w:r>
      <w:r>
        <w:rPr>
          <w:rFonts w:ascii="Arial" w:eastAsia="Times New Roman" w:hAnsi="Arial" w:cs="Arial"/>
          <w:b/>
          <w:bCs/>
          <w:color w:val="666666"/>
          <w:sz w:val="20"/>
          <w:szCs w:val="20"/>
        </w:rPr>
        <w:t>.</w:t>
      </w:r>
    </w:p>
    <w:p w:rsidR="00DA7B32" w:rsidRDefault="00DA7B32" w:rsidP="00DA7B32">
      <w:pPr>
        <w:autoSpaceDE w:val="0"/>
        <w:autoSpaceDN w:val="0"/>
        <w:adjustRightInd w:val="0"/>
        <w:spacing w:line="360" w:lineRule="auto"/>
        <w:jc w:val="both"/>
        <w:rPr>
          <w:rFonts w:ascii="Arial" w:eastAsia="Times New Roman" w:hAnsi="Arial" w:cs="Arial"/>
          <w:b/>
          <w:bCs/>
          <w:color w:val="666666"/>
          <w:sz w:val="20"/>
          <w:szCs w:val="20"/>
        </w:rPr>
      </w:pPr>
    </w:p>
    <w:p w:rsidR="00DA7B32" w:rsidRDefault="00DA7B32" w:rsidP="00DA7B32">
      <w:pPr>
        <w:autoSpaceDE w:val="0"/>
        <w:autoSpaceDN w:val="0"/>
        <w:adjustRightInd w:val="0"/>
        <w:spacing w:line="360" w:lineRule="auto"/>
        <w:jc w:val="both"/>
        <w:rPr>
          <w:rFonts w:ascii="Arial" w:hAnsi="Arial" w:cs="Arial"/>
          <w:b/>
          <w:bCs/>
          <w:caps/>
          <w:color w:val="7E4F6F"/>
          <w:sz w:val="21"/>
          <w:szCs w:val="21"/>
        </w:rPr>
      </w:pPr>
      <w:r w:rsidRPr="00DA7B32">
        <w:rPr>
          <w:rFonts w:ascii="Arial" w:hAnsi="Arial" w:cs="Arial"/>
          <w:b/>
          <w:bCs/>
          <w:caps/>
          <w:color w:val="7E4F6F"/>
          <w:sz w:val="21"/>
          <w:szCs w:val="21"/>
        </w:rPr>
        <w:t>AUMENTOS SALARIALES PARA EL SECTOR PRIVADO</w:t>
      </w:r>
    </w:p>
    <w:p w:rsidR="00DA7B32" w:rsidRDefault="00DA7B32" w:rsidP="00DA7B32">
      <w:pPr>
        <w:autoSpaceDE w:val="0"/>
        <w:autoSpaceDN w:val="0"/>
        <w:adjustRightInd w:val="0"/>
        <w:spacing w:line="360" w:lineRule="auto"/>
        <w:jc w:val="both"/>
        <w:rPr>
          <w:rFonts w:ascii="Arial" w:hAnsi="Arial" w:cs="Arial"/>
          <w:b/>
          <w:bCs/>
          <w:caps/>
          <w:color w:val="7E4F6F"/>
          <w:sz w:val="21"/>
          <w:szCs w:val="21"/>
        </w:rPr>
      </w:pPr>
    </w:p>
    <w:p w:rsidR="00DA7B32" w:rsidRPr="00DA7B32" w:rsidRDefault="00DA7B32" w:rsidP="00DA7B32">
      <w:pPr>
        <w:autoSpaceDE w:val="0"/>
        <w:autoSpaceDN w:val="0"/>
        <w:adjustRightInd w:val="0"/>
        <w:spacing w:line="360" w:lineRule="auto"/>
        <w:jc w:val="both"/>
        <w:rPr>
          <w:rFonts w:ascii="Arial" w:hAnsi="Arial" w:cs="Arial"/>
          <w:b/>
          <w:bCs/>
          <w:caps/>
          <w:color w:val="7E4F6F"/>
          <w:sz w:val="21"/>
          <w:szCs w:val="21"/>
        </w:rPr>
      </w:pPr>
      <w:r w:rsidRPr="00DA7B32">
        <w:rPr>
          <w:rFonts w:ascii="Arial" w:eastAsia="Times New Roman" w:hAnsi="Arial" w:cs="Arial"/>
          <w:b/>
          <w:bCs/>
          <w:color w:val="666666"/>
          <w:sz w:val="20"/>
          <w:szCs w:val="20"/>
        </w:rPr>
        <w:t xml:space="preserve">El Gobierno Nacional acordó con los gremios el pago de una suma salarial fija para enero de 2020 para todos los trabajadores del sector privado, a cuenta de los aumentos que se establezcan en paritaria, según informó la Agencia Nacional de Noticias (Télam). </w:t>
      </w:r>
      <w:r w:rsidRPr="00DA7B32">
        <w:rPr>
          <w:rFonts w:ascii="Arial" w:eastAsia="Times New Roman" w:hAnsi="Arial" w:cs="Arial"/>
          <w:b/>
          <w:bCs/>
          <w:color w:val="666666"/>
          <w:sz w:val="20"/>
          <w:szCs w:val="20"/>
        </w:rPr>
        <w:br/>
        <w:t>No obstante, se espera la firma del decreto, que podría ser publicado la próxima semana</w:t>
      </w:r>
      <w:r>
        <w:rPr>
          <w:rFonts w:ascii="Arial" w:eastAsia="Times New Roman" w:hAnsi="Arial" w:cs="Arial"/>
          <w:color w:val="666666"/>
          <w:sz w:val="20"/>
          <w:szCs w:val="20"/>
        </w:rPr>
        <w:t>.</w:t>
      </w:r>
    </w:p>
    <w:sectPr w:rsidR="00DA7B32" w:rsidRPr="00DA7B32" w:rsidSect="002A1585">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094" w:rsidRDefault="00D86094" w:rsidP="00A22916">
      <w:r>
        <w:separator/>
      </w:r>
    </w:p>
  </w:endnote>
  <w:endnote w:type="continuationSeparator" w:id="0">
    <w:p w:rsidR="00D86094" w:rsidRDefault="00D86094"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94" w:rsidRDefault="00D8609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DA7B32" w:rsidRPr="00DA7B32">
        <w:rPr>
          <w:rFonts w:asciiTheme="majorHAnsi" w:hAnsiTheme="majorHAnsi"/>
          <w:noProof/>
        </w:rPr>
        <w:t>4</w:t>
      </w:r>
    </w:fldSimple>
  </w:p>
  <w:p w:rsidR="00D86094" w:rsidRDefault="00D86094" w:rsidP="0063669F">
    <w:pPr>
      <w:pStyle w:val="Piedepgina"/>
    </w:pPr>
  </w:p>
  <w:p w:rsidR="00D86094" w:rsidRDefault="00D86094" w:rsidP="0063669F">
    <w:pPr>
      <w:pStyle w:val="Piedepgina"/>
    </w:pPr>
  </w:p>
  <w:p w:rsidR="00D86094" w:rsidRDefault="00D8609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094" w:rsidRDefault="00D86094" w:rsidP="00A22916">
      <w:r>
        <w:separator/>
      </w:r>
    </w:p>
  </w:footnote>
  <w:footnote w:type="continuationSeparator" w:id="0">
    <w:p w:rsidR="00D86094" w:rsidRDefault="00D8609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94" w:rsidRDefault="00D86094"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w:t>
    </w:r>
    <w:r w:rsidR="00DA7B32">
      <w:rPr>
        <w:b/>
        <w:sz w:val="40"/>
        <w:szCs w:val="40"/>
      </w:rPr>
      <w:t>1</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5">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6">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8"/>
  </w:num>
  <w:num w:numId="7">
    <w:abstractNumId w:val="26"/>
  </w:num>
  <w:num w:numId="8">
    <w:abstractNumId w:val="25"/>
  </w:num>
  <w:num w:numId="9">
    <w:abstractNumId w:val="14"/>
  </w:num>
  <w:num w:numId="10">
    <w:abstractNumId w:val="23"/>
  </w:num>
  <w:num w:numId="11">
    <w:abstractNumId w:val="13"/>
  </w:num>
  <w:num w:numId="12">
    <w:abstractNumId w:val="15"/>
  </w:num>
  <w:num w:numId="13">
    <w:abstractNumId w:val="16"/>
  </w:num>
  <w:num w:numId="14">
    <w:abstractNumId w:val="7"/>
  </w:num>
  <w:num w:numId="15">
    <w:abstractNumId w:val="10"/>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2"/>
  </w:num>
  <w:num w:numId="21">
    <w:abstractNumId w:val="6"/>
  </w:num>
  <w:num w:numId="22">
    <w:abstractNumId w:val="24"/>
  </w:num>
  <w:num w:numId="23">
    <w:abstractNumId w:val="3"/>
  </w:num>
  <w:num w:numId="24">
    <w:abstractNumId w:val="5"/>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8"/>
    <w:lvlOverride w:ilvl="0">
      <w:lvl w:ilvl="0">
        <w:numFmt w:val="bullet"/>
        <w:lvlText w:val=""/>
        <w:lvlJc w:val="left"/>
        <w:pPr>
          <w:tabs>
            <w:tab w:val="num" w:pos="720"/>
          </w:tabs>
          <w:ind w:left="720" w:hanging="360"/>
        </w:pPr>
        <w:rPr>
          <w:rFonts w:ascii="Wingdings" w:hAnsi="Wingdings" w:hint="default"/>
          <w:sz w:val="20"/>
        </w:rPr>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6B7B"/>
    <w:rsid w:val="00010986"/>
    <w:rsid w:val="00010993"/>
    <w:rsid w:val="00011E32"/>
    <w:rsid w:val="000141BB"/>
    <w:rsid w:val="0001798D"/>
    <w:rsid w:val="00020720"/>
    <w:rsid w:val="00024857"/>
    <w:rsid w:val="00024BA0"/>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87F90"/>
    <w:rsid w:val="000902D4"/>
    <w:rsid w:val="00091AF1"/>
    <w:rsid w:val="000938D2"/>
    <w:rsid w:val="00093DD6"/>
    <w:rsid w:val="000959E0"/>
    <w:rsid w:val="000A444A"/>
    <w:rsid w:val="000A498D"/>
    <w:rsid w:val="000B1065"/>
    <w:rsid w:val="000B25E4"/>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5129"/>
    <w:rsid w:val="00105285"/>
    <w:rsid w:val="00106118"/>
    <w:rsid w:val="00106BEE"/>
    <w:rsid w:val="00107640"/>
    <w:rsid w:val="0011008C"/>
    <w:rsid w:val="0011767B"/>
    <w:rsid w:val="00122901"/>
    <w:rsid w:val="0012658E"/>
    <w:rsid w:val="00126ACA"/>
    <w:rsid w:val="00134995"/>
    <w:rsid w:val="00135AA0"/>
    <w:rsid w:val="00135BCF"/>
    <w:rsid w:val="00136B14"/>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18AA"/>
    <w:rsid w:val="00193005"/>
    <w:rsid w:val="00195BB4"/>
    <w:rsid w:val="0019731C"/>
    <w:rsid w:val="001A31B7"/>
    <w:rsid w:val="001A4644"/>
    <w:rsid w:val="001A5BCA"/>
    <w:rsid w:val="001B127D"/>
    <w:rsid w:val="001B1392"/>
    <w:rsid w:val="001B1B26"/>
    <w:rsid w:val="001B1C4E"/>
    <w:rsid w:val="001B393D"/>
    <w:rsid w:val="001B4815"/>
    <w:rsid w:val="001B4C1D"/>
    <w:rsid w:val="001B5A3B"/>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5419"/>
    <w:rsid w:val="002462C5"/>
    <w:rsid w:val="002514CE"/>
    <w:rsid w:val="00251B56"/>
    <w:rsid w:val="002551A7"/>
    <w:rsid w:val="00257FF4"/>
    <w:rsid w:val="002623BD"/>
    <w:rsid w:val="002624C4"/>
    <w:rsid w:val="0026302D"/>
    <w:rsid w:val="002638FA"/>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1FF7"/>
    <w:rsid w:val="002B2A40"/>
    <w:rsid w:val="002B3E46"/>
    <w:rsid w:val="002B5F87"/>
    <w:rsid w:val="002C01BA"/>
    <w:rsid w:val="002C2500"/>
    <w:rsid w:val="002C3ED4"/>
    <w:rsid w:val="002C5F80"/>
    <w:rsid w:val="002D15E2"/>
    <w:rsid w:val="002D1AF7"/>
    <w:rsid w:val="002D2CE9"/>
    <w:rsid w:val="002D5824"/>
    <w:rsid w:val="002D6A6D"/>
    <w:rsid w:val="002D7BF7"/>
    <w:rsid w:val="002D7C89"/>
    <w:rsid w:val="002D7DD8"/>
    <w:rsid w:val="002E03B4"/>
    <w:rsid w:val="002E2C7D"/>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2475"/>
    <w:rsid w:val="00351287"/>
    <w:rsid w:val="00354827"/>
    <w:rsid w:val="00354D8B"/>
    <w:rsid w:val="00356793"/>
    <w:rsid w:val="00356AE3"/>
    <w:rsid w:val="00356E00"/>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B674E"/>
    <w:rsid w:val="003B7810"/>
    <w:rsid w:val="003C0DB9"/>
    <w:rsid w:val="003D0EDE"/>
    <w:rsid w:val="003D1833"/>
    <w:rsid w:val="003D7987"/>
    <w:rsid w:val="003E023C"/>
    <w:rsid w:val="003E1EB2"/>
    <w:rsid w:val="003E3086"/>
    <w:rsid w:val="003E4228"/>
    <w:rsid w:val="003E7115"/>
    <w:rsid w:val="003F0D3A"/>
    <w:rsid w:val="003F1343"/>
    <w:rsid w:val="003F71CB"/>
    <w:rsid w:val="004009D3"/>
    <w:rsid w:val="00401141"/>
    <w:rsid w:val="00405A49"/>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529"/>
    <w:rsid w:val="00443CD0"/>
    <w:rsid w:val="004503E0"/>
    <w:rsid w:val="00450B7D"/>
    <w:rsid w:val="00455005"/>
    <w:rsid w:val="00455EBD"/>
    <w:rsid w:val="004569CE"/>
    <w:rsid w:val="00456DA9"/>
    <w:rsid w:val="00461716"/>
    <w:rsid w:val="00462760"/>
    <w:rsid w:val="0047057E"/>
    <w:rsid w:val="004712E3"/>
    <w:rsid w:val="0047344F"/>
    <w:rsid w:val="0047412D"/>
    <w:rsid w:val="004760AD"/>
    <w:rsid w:val="00477975"/>
    <w:rsid w:val="00483559"/>
    <w:rsid w:val="00483F29"/>
    <w:rsid w:val="00484F8D"/>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C725D"/>
    <w:rsid w:val="004D144A"/>
    <w:rsid w:val="004D1D0A"/>
    <w:rsid w:val="004D2218"/>
    <w:rsid w:val="004D3372"/>
    <w:rsid w:val="004D4BFE"/>
    <w:rsid w:val="004D5A93"/>
    <w:rsid w:val="004D7E15"/>
    <w:rsid w:val="004E007C"/>
    <w:rsid w:val="004E11B3"/>
    <w:rsid w:val="004E1502"/>
    <w:rsid w:val="004E150F"/>
    <w:rsid w:val="004E2070"/>
    <w:rsid w:val="004E228E"/>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463F4"/>
    <w:rsid w:val="00550055"/>
    <w:rsid w:val="005516F1"/>
    <w:rsid w:val="00552D41"/>
    <w:rsid w:val="005533E7"/>
    <w:rsid w:val="00557631"/>
    <w:rsid w:val="005578BC"/>
    <w:rsid w:val="005616AD"/>
    <w:rsid w:val="005616C9"/>
    <w:rsid w:val="00561E9D"/>
    <w:rsid w:val="00567FFD"/>
    <w:rsid w:val="0057177B"/>
    <w:rsid w:val="0057178D"/>
    <w:rsid w:val="0058111C"/>
    <w:rsid w:val="005816C7"/>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1EFB"/>
    <w:rsid w:val="006C306C"/>
    <w:rsid w:val="006C66B7"/>
    <w:rsid w:val="006D1AF4"/>
    <w:rsid w:val="006D716F"/>
    <w:rsid w:val="006E5CD5"/>
    <w:rsid w:val="006E75AB"/>
    <w:rsid w:val="006E79DC"/>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36B72"/>
    <w:rsid w:val="0074014A"/>
    <w:rsid w:val="00742655"/>
    <w:rsid w:val="00745098"/>
    <w:rsid w:val="0074517C"/>
    <w:rsid w:val="00745FFC"/>
    <w:rsid w:val="007463A3"/>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22DF"/>
    <w:rsid w:val="007872C0"/>
    <w:rsid w:val="0078779E"/>
    <w:rsid w:val="00793394"/>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4195"/>
    <w:rsid w:val="007F74B0"/>
    <w:rsid w:val="00801B11"/>
    <w:rsid w:val="008035FD"/>
    <w:rsid w:val="008051D9"/>
    <w:rsid w:val="008057A5"/>
    <w:rsid w:val="00807984"/>
    <w:rsid w:val="00807F0C"/>
    <w:rsid w:val="0081031F"/>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8157D"/>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19D9"/>
    <w:rsid w:val="008C33A4"/>
    <w:rsid w:val="008C4219"/>
    <w:rsid w:val="008C6A53"/>
    <w:rsid w:val="008C7B0A"/>
    <w:rsid w:val="008D06FE"/>
    <w:rsid w:val="008D1DA1"/>
    <w:rsid w:val="008D2886"/>
    <w:rsid w:val="008D655B"/>
    <w:rsid w:val="008D68D6"/>
    <w:rsid w:val="008E201C"/>
    <w:rsid w:val="008E2D8B"/>
    <w:rsid w:val="008E3464"/>
    <w:rsid w:val="008E3E10"/>
    <w:rsid w:val="008E6731"/>
    <w:rsid w:val="008E7F92"/>
    <w:rsid w:val="008F297F"/>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35DC5"/>
    <w:rsid w:val="00943E8A"/>
    <w:rsid w:val="009454BF"/>
    <w:rsid w:val="00947871"/>
    <w:rsid w:val="00953583"/>
    <w:rsid w:val="00954837"/>
    <w:rsid w:val="00955F3D"/>
    <w:rsid w:val="00957658"/>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5003"/>
    <w:rsid w:val="009A513D"/>
    <w:rsid w:val="009B1798"/>
    <w:rsid w:val="009B23B8"/>
    <w:rsid w:val="009B38E7"/>
    <w:rsid w:val="009B5379"/>
    <w:rsid w:val="009B5884"/>
    <w:rsid w:val="009C1F29"/>
    <w:rsid w:val="009C49CB"/>
    <w:rsid w:val="009D2066"/>
    <w:rsid w:val="009D44D5"/>
    <w:rsid w:val="009D4CBF"/>
    <w:rsid w:val="009E4DA4"/>
    <w:rsid w:val="009E5685"/>
    <w:rsid w:val="009E70F1"/>
    <w:rsid w:val="009E764A"/>
    <w:rsid w:val="009F17A7"/>
    <w:rsid w:val="009F314C"/>
    <w:rsid w:val="009F3D84"/>
    <w:rsid w:val="009F3E49"/>
    <w:rsid w:val="009F666E"/>
    <w:rsid w:val="009F6FFB"/>
    <w:rsid w:val="00A00809"/>
    <w:rsid w:val="00A0449D"/>
    <w:rsid w:val="00A056CB"/>
    <w:rsid w:val="00A064DD"/>
    <w:rsid w:val="00A0771F"/>
    <w:rsid w:val="00A110AB"/>
    <w:rsid w:val="00A11501"/>
    <w:rsid w:val="00A15786"/>
    <w:rsid w:val="00A15D1D"/>
    <w:rsid w:val="00A17730"/>
    <w:rsid w:val="00A20A80"/>
    <w:rsid w:val="00A22916"/>
    <w:rsid w:val="00A2454C"/>
    <w:rsid w:val="00A26B26"/>
    <w:rsid w:val="00A27C2E"/>
    <w:rsid w:val="00A31925"/>
    <w:rsid w:val="00A3209A"/>
    <w:rsid w:val="00A377D1"/>
    <w:rsid w:val="00A47B56"/>
    <w:rsid w:val="00A47D12"/>
    <w:rsid w:val="00A47E9E"/>
    <w:rsid w:val="00A502B6"/>
    <w:rsid w:val="00A51C02"/>
    <w:rsid w:val="00A52162"/>
    <w:rsid w:val="00A57ABE"/>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B2D"/>
    <w:rsid w:val="00A9401F"/>
    <w:rsid w:val="00A94DF6"/>
    <w:rsid w:val="00A97F7F"/>
    <w:rsid w:val="00AA0C38"/>
    <w:rsid w:val="00AA2436"/>
    <w:rsid w:val="00AA2AB5"/>
    <w:rsid w:val="00AA5FC8"/>
    <w:rsid w:val="00AB18C4"/>
    <w:rsid w:val="00AB3C8F"/>
    <w:rsid w:val="00AB4BDE"/>
    <w:rsid w:val="00AB7BC2"/>
    <w:rsid w:val="00AC08D6"/>
    <w:rsid w:val="00AC0D04"/>
    <w:rsid w:val="00AC1F32"/>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7753"/>
    <w:rsid w:val="00B416A0"/>
    <w:rsid w:val="00B436EB"/>
    <w:rsid w:val="00B44ED8"/>
    <w:rsid w:val="00B46298"/>
    <w:rsid w:val="00B462DB"/>
    <w:rsid w:val="00B50095"/>
    <w:rsid w:val="00B5082D"/>
    <w:rsid w:val="00B50F66"/>
    <w:rsid w:val="00B515D9"/>
    <w:rsid w:val="00B53C7F"/>
    <w:rsid w:val="00B5534A"/>
    <w:rsid w:val="00B557A9"/>
    <w:rsid w:val="00B57BDD"/>
    <w:rsid w:val="00B60288"/>
    <w:rsid w:val="00B63990"/>
    <w:rsid w:val="00B64475"/>
    <w:rsid w:val="00B64DBB"/>
    <w:rsid w:val="00B6745A"/>
    <w:rsid w:val="00B702F9"/>
    <w:rsid w:val="00B82568"/>
    <w:rsid w:val="00B82617"/>
    <w:rsid w:val="00B82ADA"/>
    <w:rsid w:val="00B84234"/>
    <w:rsid w:val="00B85427"/>
    <w:rsid w:val="00B855EE"/>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520F"/>
    <w:rsid w:val="00BB7EF7"/>
    <w:rsid w:val="00BC0A33"/>
    <w:rsid w:val="00BC7080"/>
    <w:rsid w:val="00BC725C"/>
    <w:rsid w:val="00BC72AF"/>
    <w:rsid w:val="00BD1199"/>
    <w:rsid w:val="00BD286D"/>
    <w:rsid w:val="00BD5ED2"/>
    <w:rsid w:val="00BD76AD"/>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063FC"/>
    <w:rsid w:val="00C16897"/>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E050C"/>
    <w:rsid w:val="00CE0F03"/>
    <w:rsid w:val="00CE1B5C"/>
    <w:rsid w:val="00CE2963"/>
    <w:rsid w:val="00CE400C"/>
    <w:rsid w:val="00CE478D"/>
    <w:rsid w:val="00CE6FC5"/>
    <w:rsid w:val="00CE7E51"/>
    <w:rsid w:val="00CF02BA"/>
    <w:rsid w:val="00CF5462"/>
    <w:rsid w:val="00D00832"/>
    <w:rsid w:val="00D02745"/>
    <w:rsid w:val="00D03A65"/>
    <w:rsid w:val="00D05D33"/>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4586D"/>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6094"/>
    <w:rsid w:val="00D8733D"/>
    <w:rsid w:val="00D90A26"/>
    <w:rsid w:val="00D951BB"/>
    <w:rsid w:val="00D95910"/>
    <w:rsid w:val="00D978A4"/>
    <w:rsid w:val="00DA34B5"/>
    <w:rsid w:val="00DA4170"/>
    <w:rsid w:val="00DA7B32"/>
    <w:rsid w:val="00DB374E"/>
    <w:rsid w:val="00DB3E82"/>
    <w:rsid w:val="00DB4EAF"/>
    <w:rsid w:val="00DB5C26"/>
    <w:rsid w:val="00DB660E"/>
    <w:rsid w:val="00DB7AEE"/>
    <w:rsid w:val="00DC01EF"/>
    <w:rsid w:val="00DC11B0"/>
    <w:rsid w:val="00DC197E"/>
    <w:rsid w:val="00DC3958"/>
    <w:rsid w:val="00DC5162"/>
    <w:rsid w:val="00DC67E6"/>
    <w:rsid w:val="00DC697C"/>
    <w:rsid w:val="00DC76A1"/>
    <w:rsid w:val="00DD4EB3"/>
    <w:rsid w:val="00DD71F0"/>
    <w:rsid w:val="00DE0214"/>
    <w:rsid w:val="00DE070E"/>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208A5"/>
    <w:rsid w:val="00E20E7A"/>
    <w:rsid w:val="00E20E89"/>
    <w:rsid w:val="00E26C42"/>
    <w:rsid w:val="00E27D8A"/>
    <w:rsid w:val="00E35D3D"/>
    <w:rsid w:val="00E40D9C"/>
    <w:rsid w:val="00E42CF2"/>
    <w:rsid w:val="00E503A6"/>
    <w:rsid w:val="00E50433"/>
    <w:rsid w:val="00E52026"/>
    <w:rsid w:val="00E554AC"/>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482E"/>
    <w:rsid w:val="00EA6378"/>
    <w:rsid w:val="00EA770C"/>
    <w:rsid w:val="00EB166D"/>
    <w:rsid w:val="00EB4775"/>
    <w:rsid w:val="00EB53F9"/>
    <w:rsid w:val="00EB5F3E"/>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1FB"/>
    <w:rsid w:val="00F42668"/>
    <w:rsid w:val="00F478EC"/>
    <w:rsid w:val="00F500D0"/>
    <w:rsid w:val="00F53620"/>
    <w:rsid w:val="00F542F5"/>
    <w:rsid w:val="00F54A5E"/>
    <w:rsid w:val="00F55D28"/>
    <w:rsid w:val="00F56404"/>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6DB7"/>
    <w:rsid w:val="00FD73A0"/>
    <w:rsid w:val="00FD769B"/>
    <w:rsid w:val="00FE1362"/>
    <w:rsid w:val="00FE169F"/>
    <w:rsid w:val="00FE527E"/>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semiHidden/>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semiHidden/>
    <w:rsid w:val="00DA7B3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59464-A9B5-4A0D-AEBF-8EE6AAB0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2001</Words>
  <Characters>11008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2019-12-20T22:33:00Z</dcterms:created>
  <dcterms:modified xsi:type="dcterms:W3CDTF">2019-12-20T22:51:00Z</dcterms:modified>
</cp:coreProperties>
</file>